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312 vom 2. November 2018</w:t>
      </w:r>
    </w:p>
    <w:p>
      <w:r>
        <w:t>FR Kantonsgericht, 2018-11-02, FR</w:t>
      </w:r>
    </w:p>
    <w:p>
      <w:r>
        <w:rPr>
          <w:b/>
        </w:rPr>
        <w:t xml:space="preserve">Quelle: </w:t>
      </w:r>
      <w:r>
        <w:t>https://mcp.opencaselaw.ch/entscheid/fr_gerichte_101_2018_312</w:t>
      </w:r>
    </w:p>
    <w:p>
      <w:r>
        <w:t>FR: FR_GERICHTE 101 2018 312 du 2 novembre 2018</w:t>
      </w:r>
    </w:p>
    <w:p>
      <w:r>
        <w:t>IT: FR_GERICHTE 101 2018 312 del 2 novembre 2018</w:t>
      </w:r>
    </w:p>
    <w:p>
      <w:pPr>
        <w:pStyle w:val="Heading2"/>
      </w:pPr>
      <w:r>
        <w:t>Regeste</w:t>
      </w:r>
    </w:p>
    <w:p>
      <w:r>
        <w:t>Arrêt de la Ie Cour d'appel civil du Tribunal cantonal | Vorsorgliche Massnahmen (Art. 261 ff. ZPO)</w:t>
      </w:r>
    </w:p>
    <w:p>
      <w:pPr>
        <w:pStyle w:val="Heading2"/>
      </w:pPr>
      <w:r>
        <w:t>Erwägungen</w:t>
      </w:r>
    </w:p>
    <w:p>
      <w:r>
        <w:rPr>
          <w:b/>
        </w:rPr>
        <w:t>E. 18</w:t>
      </w:r>
    </w:p>
    <w:p>
      <w:r>
        <w:t>septembre 2018 n'est pas exécutoire jusqu'à l’échéance du délai d'appel contre la décision motivée ou, si appel est interjeté, jusqu'à décision de la juridiction d'appel. Jusqu'à ce terme, la décision de mesures provisoires du 22 février 2018 continue donc à déployer ses effets, les enfants restant scolarisés dans le cercle scolaire de G.________. II. Les frais de la procédure de mesures provisionnelles sont mis à la charge de B.________. Les frais judiciaires sont fixés à CHF 600.-. Les dépens de A.________ sont fixés globalement à CHF 1'292.40, TVA par CHF 92.40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2018/dbe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