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165 vom 29. Oktober 2018</w:t>
      </w:r>
    </w:p>
    <w:p>
      <w:r>
        <w:t>FR Kantonsgericht, 2018-10-29, FR</w:t>
      </w:r>
    </w:p>
    <w:p>
      <w:r>
        <w:rPr>
          <w:b/>
        </w:rPr>
        <w:t xml:space="preserve">Quelle: </w:t>
      </w:r>
      <w:r>
        <w:t>https://mcp.opencaselaw.ch/entscheid/fr_gerichte_101_2018_165</w:t>
      </w:r>
    </w:p>
    <w:p>
      <w:r>
        <w:t>FR: FR_GERICHTE 101 2018 165 du 29 octobre 2018</w:t>
      </w:r>
    </w:p>
    <w:p>
      <w:r>
        <w:t>IT: FR_GERICHTE 101 2018 165 del 29 ottobre 2018</w:t>
      </w:r>
    </w:p>
    <w:p>
      <w:pPr>
        <w:pStyle w:val="Heading2"/>
      </w:pPr>
      <w:r>
        <w:t>Regeste</w:t>
      </w:r>
    </w:p>
    <w:p>
      <w:r>
        <w:t>Arrêt de la Ie Cour d'appel civil du Tribunal cantonal | Eheschutzmassnahmen</w:t>
      </w:r>
    </w:p>
    <w:p>
      <w:pPr>
        <w:pStyle w:val="Heading2"/>
      </w:pPr>
      <w:r>
        <w:t>Erwägungen</w:t>
      </w:r>
    </w:p>
    <w:p>
      <w:r>
        <w:rPr>
          <w:b/>
        </w:rPr>
        <w:t>E. 10</w:t>
      </w:r>
    </w:p>
    <w:p>
      <w:r>
        <w:t>et 8 ans, il n'apparaît pas opportun d'élargir la durée du droit de visite le dimanche soir à 19h30" (décision attaquée, p. 8). Il a toutefois omis que l'épouse a déclaré, lors de son audition du</w:t>
      </w:r>
    </w:p>
    <w:p>
      <w:r>
        <w:rPr>
          <w:b/>
        </w:rPr>
        <w:t>E. 15</w:t>
      </w:r>
    </w:p>
    <w:p>
      <w:r>
        <w:t>mars 2018 (DO/73): "Depuis la séparation, le droit de visite s'exerce un week-end sur deux du vendredi après le cours d'escalade au dimanche après le souper soit à environ 19h00 (…). Ce rythme convient à nos filles". Il ne s'agit dès lors pas d'élargir le droit de visite, mais de reprendre ce qui a été pratiqué à satisfaction de tous depuis plus d'une année. D'ailleurs, dans sa réponse à l'appel, B.________ ne s'est pas déterminée sur la modification d'horaire demandée par son mari et ne s'y est donc pas opposée. Au vu de ce qui précède, il ne semble y avoir aucune objection à faire droit aux conclusions de l'appelant sur ce point. Elles seront donc admises.</w:t>
      </w:r>
    </w:p>
    <w:p>
      <w:r>
        <w:t>Tribunal cantonal TC Page 4 de 5 3. L'appelant conteste aussi l'attribution de la maison familiale à son épouse. Il demande qu'elle soit laissée à sa propre disposition. De son côté, après avoir conclu au rejet de l'appel sur ce point, l'intimée a indiqué, le 1er octobre 2018, qu'elle renonçait à se voir attribuer la maison familiale, ayant trouvé pour elle-même et ses filles un appartement plus spacieux que celui qu'elle occupe actuellement. Il en découle qu'elle acquiesce en définitive aux conclusions de son mari tendant à l'attribution de la maison et qu'il convient de modifier la décision querellée en conséquence. 4. 4.1. Aux termes de l'art. 106 al. 1 CPC, les frais sont en principe mis à la charge de la partie succombante, qui, en cas d'acquiescement, est le défendeur.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le mari a gain de cause sur la question du droit de visite et l'épouse a finalement acquiescé aux conclusions relatives à l'attribution de la maison familiale. Il se justifie dès lors que les frais d'appel, notamment les frais judiciaires dus à l'Etat, fixés à CHF 1'000.-, soient mis à la charge de l'intimée.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 de CHF 1'000.-). la Cour arrête: I. Il est pris acte de l'acquiescement partiel de B.________ à l'appel. Pour le surplus, l'appel est admis. Partant, les chiffres 2, 3 et 5 du dispositif de la décision prononcée le 24 mai 2018 par le Président du Tribunal civil de la Veveyse sont réformés comme suit: 2. La jouissance de la maison conjugale, sise E.________, est attribuée à A.________, à charge pour lui d'en payer les charges courantes. 3. (supprimé) (…)</w:t>
      </w:r>
    </w:p>
    <w:p>
      <w:r>
        <w:t>Tribunal cantonal TC Page 5 de 5 5. A.________ bénéficiera sur ses enfants d'un libre droit de visite, moyennant entente entre les parties. A défaut de meilleure entente, il pourra avoir ses filles auprès de lui, à charge pour lui d'aller les chercher là où elles se trouvent et de les y ramener: - une fin de semaine sur deux, du vendredi à 18.00 heures au dimanche à 19.30 heures, étant précisé que les enfants souperont avec leur père avant de rentrer chez leur mère; - les mardis et jeudis dès 18.00 heures jusqu'au lendemain matin, heure de l'école; - la moitié des vacances scolaires, moyennant avertissement donné à la mère trois mois à l'avance; - les relâches de février, une année sur deux; - à Noël et Nouvel-An, alternativement d'une année à l'autre. II. Les frais d'appel, dont les frais judiciaires dus à l'Etat, fixés à CHF 1'000.-, sont mis à la charge de B.________. III. Les dépens d'appel de A.________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octobre 2018 /lfa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