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44 vom 21. März 2017</w:t>
      </w:r>
    </w:p>
    <w:p>
      <w:r>
        <w:t>FR Kantonsgericht, 2017-03-21, FR</w:t>
      </w:r>
    </w:p>
    <w:p>
      <w:r>
        <w:rPr>
          <w:b/>
        </w:rPr>
        <w:t xml:space="preserve">Quelle: </w:t>
      </w:r>
      <w:r>
        <w:t>https://mcp.opencaselaw.ch/entscheid/fr_gerichte_101_2017_44</w:t>
      </w:r>
    </w:p>
    <w:p>
      <w:r>
        <w:t>FR: FR_GERICHTE 101 2017 44 du 21 mars 2017</w:t>
      </w:r>
    </w:p>
    <w:p>
      <w:r>
        <w:t>IT: FR_GERICHTE 101 2017 44 del 21 marzo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25 janvier 2017. Déposé le lundi 6 février 2017, dernier jour reporté (art. 142 al. 3 CPC) du délai arrivé à échéance le samedi précédent, l'appel a dès lors été interjeté en temps utile. Le mémoire est de plus dûment motivé et doté de conclusions. En outre, vu la contribution d'entretien de CHF 1'688.15 à CHF 3'314.15 par mois réclamée en première instance, montant dont le mari n'admettait que CHF 1'000.- mensuels,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w:t>
      </w:r>
    </w:p>
    <w:p>
      <w:r>
        <w:t>Tribunal cantonal TC Page 3 de 6 c) La cognition de la Cour d'appel est pleine et entière, en fait comme en droit (art. 310 CPC). d)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(CPC – SCHWEIZER, 2011,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A.________ modifie ses conclusions relatives à la contribution d'entretien destinée à son épouse: alors qu'en première instance il proposait CHF 1'000.- par mois dès le 1er novembre 2016, il conclut désormais à ce que la pension s'élève à CHF 1'770.- et ne soit due que depuis le 1er janvier 2017. Si l'augmentation du montant proposé est admissible, puisqu'elle correspond à une restriction des conclusions, il en va différemment du changement demandé quant au point de départ de la contribution, qui constitue une amplification des conclusions du mari. Or, ce dernier ne fait valoir aucun fait nouveau pour justifier cette amplification: s'il invoque certes avoir payé, en novembre et décembre 2016, l'ensemble des charges du couple et avoir laissé à son épouse un accès à son compte bancaire (appel, p. 8), il n'explique pas pour quel motif il ne s'est pas prévalu de ces éléments en première instance, mais a au contraire proposé, dans sa requête du 28 novembre 2016, une pension payable depuis le 1er novembre 2016 (DO/4), ce qu'il a confirmé en audience du 21 décembre 2016 (DO/29). Partant, la modification des conclusions de l'appelant en lien avec le point de départ de la pension est irrecevable et il faut considérer qu'il conclut à ce qu'une contribution de CHF 1'000.- par mois soit due pour novembre et décembre 2016, puis CHF 1'770.- par mois dès janvier 2017.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est largement supérieure à CHF 30'000.- (art. 51 al. 1 let. a et al. 4 LTF).</w:t>
      </w:r>
    </w:p>
    <w:p>
      <w:r>
        <w:rPr>
          <w:b/>
        </w:rPr>
        <w:t>E. 2</w:t>
      </w:r>
    </w:p>
    <w:p>
      <w:r>
        <w:t>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w:t>
      </w:r>
    </w:p>
    <w:p>
      <w:r>
        <w:t>Tribunal cantonal TC Page 4 de 6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l'augmentation de l'activité lucrative d'un époux – après un délai convenable (ATF 129 III 417)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b) En l'espèce, le premier juge a retenu (décision querellée, p. 5) que, d'août à décembre 2016, l'épouse a effectué des missions temporaires auprès de C.________ SA; elle a notamment gagné CHF 3'394.35 en novembre et CHF 1'995.75 en décembre, ce que l'appelant ne critique pas. Son contrat n'a toutefois pas été renouvelé au-delà du 16 décembre 2016 et, selon un certificat de son psychiatre du 16 janvier 2017, elle s'est trouvée en janvier 2017 en incapacité totale de travailler, qui devait faire l'objet d'une réévaluation par la suite. Dès lors, en l'état, le Président a refusé d'imputer un revenu hypothétique à l'intimée. L'appelant critique ce raisonnement. Il fait valoir que, durant le mariage, son épouse a régulièrement travaillé et que, si elle ne dispose pas d'une formation particulière, cet état de fait ne l'a pas empêchée de trouver aisément des emplois dans divers secteurs. De plus, il relève que l'incapacité de travail mentionnée par le premier juge a pris fin. Dans ces conditions, il estime qu'un revenu de CHF 3'000.- par mois doit être pris en compte (appel, p. 7). La jurisprudence (ATF 137 III 102 consid. 4.2.2.2) admet qu'il est généralement présumé déraisonnable d'exiger la reprise ou l'extension d'une activité lucrative au-delà de l'âge de 45, voire 50 ans (c'est l'âge lors de la séparation qui est déterminant: arrêt TF 5C.320/2006 du 1er février 2007 consid. 5.6.2.2), mais la présomption peut être renversée, car ce n'est pas l'âge qui la fonde, mais bien plutôt le fait d'avoir ou non exercé une activité lucrative pendant le mariage (arrêt TF 5C.32/2001 du 19 avril 2001 consid. 3b). Tout dépend en définitive de critères tels que la répartition précédente des tâches, la formation professionnelle, le marché de l'emploi, la charge d'enfants (BASTONS BULLETTI, L'entretien après divorce: méthodes de calcul, montant, durée et limites, in SJ 2007 II 77, p. 97). Il faut cependant que la possibilité effective de réaliser un revenu supérieur à celui effectivement perçu soit vraisemblable (ATF 137 III 118 consid. 2.3). Dans le cas particulier, il est vrai que l'incapacité de travail attestée en première instance a pris fin le 31 janvier 2017 et que, dans sa réponse à l'appel, l'intimée n'a pas allégué qu'elle se prolongerait actuellement. Il n'en demeure pas moins que, selon les constatations du Président que l'appelant ne critique pas, l'épouse a travaillé comme caissière à 40 % entre 1997 et 2008, puis a dû cesser cette activité en raison de problèmes à la hanche (décision querellée, p. 5). Entendue le 21 décembre 2016, elle a notamment déclaré qu'elle a voulu recommencer à travailler en 2011, mais qu'elle a dû arrêter en raison de ses soucis de santé (DO/30). De plus, il résulte du certificat médical au dossier qu'elle souffre d'une symptomatologie anxiodépressive et, même si selon le médecin une reprise pourrait certes être envisagée dans un environnement adapté, il faut</w:t>
      </w:r>
    </w:p>
    <w:p>
      <w:r>
        <w:t>Tribunal cantonal TC Page 5 de 6 constater qu'elle a aujourd'hui 55 ans, soit un âge auquel il est notoirement très difficile de retrouver un emploi, surtout pour une personne qui n'a pas de formation professionnelle. Dans ces conditions, c'est à juste titre que le Président a fait abstraction d'un quelconque revenu à bref et moyen terme. Ce grief de l'appelant est infondé. Compte tenu des charges de l'épouse, que le premier juge a arrêtées à CHF 3'285.85 sans que le mari ne les conteste, le disponible de CHF 31.50 calculé pour novembre 2016, puis les déficits de CHF 1'367.10 en décembre 2016 et de CHF 3'285.85 dès janvier 2017, doivent être confirmés. c) S'agissant de l'appelant, le Président a retenu qu'il gagne CHF 6'089.10 net par mois, 13ème salaire et bonus inclus, et qu'après déduction de ses charges arrêtées à CHF 2'493.55, il a un disponible mensuel avant impôts de CHF 3'595.55 (décision attaquée, p. 4 s.). A.________ ne critique cette situation financière que sous l'angle de la prise en compte d'une part au bonus annuel. Il fait valoir que son employeur, la société D.________, se trouve en pleine restructuration et supprime de nombreux emplois, comme la presse l'a évoqué plusieurs fois. Dès lors, il soutient qu'il ne percevra plus de bonus en 2017, ni les années suivantes, et que son revenu doit être pris en compte à hauteur de CHF 5'740.45 (13/12 x CHF 5'300.05; appel, p. 5 s.). Selon la jurisprudence (arrêt TF 5A_621/2013 du 20 novembre 2014 consid. 3.3.1, non publié aux ATF 141 III 53), le bonus fait partie du salaire, lorsqu'il s'agit d'une rémunération régulière; de plus, lorsqu'un élément de revenu est fluctuant, il convient en général, pour obtenir un résultat fiable, de tenir compte du revenu net moyen réalisé durant plusieurs années. En l'espèce, entendu le 21 décembre 2016, l'appelant a notamment déclaré qu'en 2016 il a reçu une prime de CHF 4'000.-, et qu'en 2015 il a aussi reçu un bonus qui s'élevait entre CHF 4'000.- et CHF 4'300.- (DO/29). De plus, il n'a pas contesté l'allégué de son épouse (DO/14) selon lequel "[a]nnuellement, généralement au mois de mai, le requérant touche des primes variant entre Fr. 3'500.- et Fr. 4'500.-". Dans ces conditions, c'est à bon droit que le premier juge a considéré que ce versement régulier de la prime en faisait un élément du salaire dont il convenait de tenir compte. Quant aux articles de journaux produits en appel (pièces 3 et 4), qui font état d'une restructuration et de licenciements au sein du groupe qui emploie le mari, ils ne rendent pas encore vraisemblable que tout versement d'un bonus sera supprimé dans les années à venir. Le cas échéant, si tel devait être le cas, il incombera à l'appelant d'ouvrir action en modification des mesures protectrices de l'union conjugale. Ce grief doit donc aussi être écarté. d) Le Président a admis les conclusions de l'épouse quant au montant de la pension, qui correspondent plus ou moins à un partage par moitié des ressources du couple (décision querellée, p. 5 s.). L'appelant ne s'en prend pas à ce mode de procéder. Par conséquent, ses griefs ayant été écartés, l'appel doit être intégralement rejeté.</w:t>
      </w:r>
    </w:p>
    <w:p>
      <w:r>
        <w:rPr>
          <w:b/>
        </w:rPr>
        <w:t>E. 3</w:t>
      </w:r>
    </w:p>
    <w:p>
      <w:r>
        <w:t>a) Conformément à l'art. 106 al. 1 CPC, les frais d'appel doivent être mis à la charge de A.________, qui succombe entièrement. Ils comprennent notamment les frais judiciaires dus à l'Etat, fixés à CHF 1'000.-, qui seront prélevés sur son avance (art. 111 al. 1 CPC).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w:t>
      </w:r>
    </w:p>
    <w:p>
      <w:r>
        <w:t>Tribunal cantonal TC Page 6 de 6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la relative simplicité de la procédure d'appel, les dépens de B.________ peuvent être arrêtés au montant de CHF 1'200.-, débours compris, plus la TVA par CHF 96.- (8 % de CHF 1'200.-). la Cour arrête: I. L'appel est rejeté, dans la mesure de sa recevabilité. Partant, le chiffre 3 du dispositif de la décision prononcée le 24 janvier 2017 par le Président du Tribunal civil de la Sarine est confirmé. II. Les frais d'appel sont mis à la charge de A.________. Ils comprennent notamment les frais judiciaires dus à l'Etat, fixés à CHF 1'000.-, qui seront prélevés sur son avance. III. Les dépens d'appel de B.________ sont fixés globalement à la somme de CHF 1'200.-, débours compris, plus la TVA par CHF 96.-.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mars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