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331 vom 28. November 2017</w:t>
      </w:r>
    </w:p>
    <w:p>
      <w:r>
        <w:t>FR Kantonsgericht, 2017-11-28, FR</w:t>
      </w:r>
    </w:p>
    <w:p>
      <w:r>
        <w:rPr>
          <w:b/>
        </w:rPr>
        <w:t xml:space="preserve">Quelle: </w:t>
      </w:r>
      <w:r>
        <w:t>https://mcp.opencaselaw.ch/entscheid/fr_gerichte_101_2017_331</w:t>
      </w:r>
    </w:p>
    <w:p>
      <w:r>
        <w:t>FR: FR_GERICHTE 101 2017 331 du 28 novembre 2017</w:t>
      </w:r>
    </w:p>
    <w:p>
      <w:r>
        <w:t>IT: FR_GERICHTE 101 2017 331 del 28 novembre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6 octobre 2017 (DO/58). Déposé le 13 octobre 2017, l'appel a dès lors été interjeté en temps utile. Le mémoire est de plus dûment motivé et doté de conclusions. En outre, vu la pension mensuelle de CHF 2'000.- réclamée en première instance, montant dont le mari n'admettait que CHF 400.- par mois, la valeur litigieuse en appel est clairement supérieure à CHF 10'000.-. Il s'ensuit la recevabilité de l'appel, sous réserve de ce qui suit.</w:t>
      </w:r>
    </w:p>
    <w:p>
      <w:r>
        <w:rPr>
          <w:b/>
        </w:rPr>
        <w:t>E. 1.2</w:t>
      </w:r>
    </w:p>
    <w:p>
      <w:r>
        <w:t>Selon l'art. 311 al. 1 CPC, l'appel doit être écrit et motivé. Cela suppose, que la cause soit soumise à la maxime des débats ou à la maxime inquisitoire,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w:t>
      </w:r>
    </w:p>
    <w:p>
      <w:r>
        <w:t>Tribunal cantonal TC Page 3 de 5 En l'espèce, l'appelante conclut à ce que la pension en sa faveur soit indexée et à ce que l'obligation de restituer l'éventuel trop-perçu depuis la séparation soit supprimée. Cependant, outre que l'épouse n'a pas pris de conclusions tendant à l'indexation en première instance et n'invoque aucun fait nouveau pour modifier ses conclusions en appel, comme l'art. 317 al. 2 let. b CPC l'exige, elle n'évoque pas du tout les deux points précités dans la motivation de son pourvoi pour tenter de démontrer le caractère erroné de la décision attaquée. A cet égard, l'appel est ainsi irrecevable.</w:t>
      </w:r>
    </w:p>
    <w:p>
      <w:r>
        <w:rPr>
          <w:b/>
        </w:rPr>
        <w:t>E. 1.3</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L'appelante critique la réduction de la contribution d'entretien en sa faveur dès le moment où son mari aura trouvé un logement. Elle conclut à ce qu'un montant mensuel de CHF 1'250.- soit dû depuis le 1er octobre 2016.</w:t>
      </w:r>
    </w:p>
    <w:p>
      <w:r>
        <w:rPr>
          <w:b/>
        </w:rPr>
        <w:t>E. 2.1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w:t>
      </w:r>
    </w:p>
    <w:p>
      <w:r>
        <w:rPr>
          <w:b/>
        </w:rPr>
        <w:t>E. 2.2</w:t>
      </w:r>
    </w:p>
    <w:p>
      <w:r>
        <w:t>En l'espèce, le premier juge a retenu que l'épouse subit un déficit mensuel de CHF 656.45 et que le mari a un disponible de CHF 1'964.65, compte tenu d'un loyer de CHF 300.- pour la location d'une chambre sur son lieu de travail. Partageant les soldes plus ou moins par la moitié, il a calculé que la pension pour l'épouse devait s'élever à CHF 1'250.- (décision attaquée, p. 5 s.). Ceci n'est pas contesté en appel. En revanche, ce qui est critiqué est le fait que le Président ait réduit la pension à CHF 750.- dès que l'intimé aurait trouvé un logement, mais en tout cas à CHF 900.- depuis le 1er avril 2018, la situation de l'épouse se modifiant aussi hypothétiquement dès cette date en raison du fait que son fils cesserait d'habiter avec elle. A cet égard, il a considéré que "le requérant est en recherche d'appartement et qu'on ne saurait exiger de sa part qu'il continue à occuper la chambre louée chez son employeur", de sorte qu'il a pris en compte pour l'avenir un loyer hypothétique de CHF 1'200.- (décision attaquée, p. 5). L'appelante lui en fait grief, relevant que le déménagement de son époux n'est pas certain et qu'il n'y a dès lors aucun motif de tenir compte d'une charge qui n'est pas effectivement payée, l'intimé conservant la possibilité de requérir une modification des mesures protectrices lorsqu'il aura trouvé un appartement (appel, p. 4 à 6).</w:t>
      </w:r>
    </w:p>
    <w:p>
      <w:r>
        <w:rPr>
          <w:b/>
        </w:rPr>
        <w:t>E. 2.3</w:t>
      </w:r>
    </w:p>
    <w:p>
      <w:r>
        <w:t>La jurisprudence retient que seuls les frais de logement effectifs ou raisonnables doivent être pris en considération dans le calcul du minimum vital élargi, menant à celui de la contribution</w:t>
      </w:r>
    </w:p>
    <w:p>
      <w:r>
        <w:t>Tribunal cantonal TC Page 4 de 5 d'entretien (arrêts TF 5A_1029/2015 du 1er juin 2016 consid. 4.3.1 et 5A_365/2014 du 25 juillet 2014 consid. 3.1). Il s'agit d'une application du principe selon lequel seules les charges effectivement payées doivent être retenues (ATF 126 III 89 consid. 3b; arrêt TF 5A_608/2014 du 16 décembre 2014 consid. 4.1). Cependant, dans un arrêt du 12 mars 2002 (arrêt TF 5C.296/2001 du 12 mars 2002 consid. 2c/bb), le Tribunal fédéral a considéré qu'il n'était pas arbitraire de retenir un loyer hypothétique de CHF 1'000.- pour un débirentier vivant provisoirement chez sa mère, cette situation étant appelée à se modifier à plus ou moins brève échéance. En l'espèce, depuis la séparation intervenue en septembre 2016, l'intimé occupe chez son employeur une chambre qui lui coûte CHF 300.- par mois (DO/3 et 5). Entendu en première instance, il a déclaré avoir effectué des recherches de logement, mais a précisé: "Au vu de ma situation financière, personne ne veut me prendre" (DO/41); de plus, il a allégué un futur loyer de CHF 1'300.- par mois (DO/6), montant que son épouse a admis à hauteur de CHF 1'000.- (DO/27). Dans cette constellation, qui est très proche de celle ayant donné lieu à l'arrêt précité du 12 mars 2002, c'est à bon droit que le premier juge a considéré que le mari ne pouvait raisonnablement être astreint à continuer à se loger dans une simple chambre sur son lieu de travail, se privant par là du confort le plus élémentaire, tandis que l'appelante occupe avec son fils un logement de</w:t>
      </w:r>
    </w:p>
    <w:p>
      <w:r>
        <w:rPr>
          <w:b/>
        </w:rPr>
        <w:t>E. 4</w:t>
      </w:r>
    </w:p>
    <w:p>
      <w:r>
        <w:t>½ pièces. La prise en compte d'un loyer de CHF 1'200.-, dont la quotité n'est en soi plus critiquée en appel, depuis le moment où l'intimé trouvera un appartement, et donc la réduction liée de la pension à CHF 750.- par mois, ne prêtent ainsi pas le flanc à la critique. Pour le surplus, l'appelante ne s'en prend pas séparément au fait que, depuis le 1er avril 2018 en tout cas, la contribution d'entretien soit fixée à CHF 900.- par mois, montant qui couvre son déficit de CHF 656.45 si son fils continue à habiter avec elle et qui, dans le cas contraire, correspond de toute manière au maximum pouvant être exigé du mari avec son disponible de CHF 934.65, une fois compté un loyer de CHF 1'200.- (décision attaquée, p. 5). Au vu de ce qui précède, l'appel doit être rejeté, dans la mesure de sa recevabilité (supra, ch. 1.2), et la décision attaquée confirmée. 3. 3.1 Vu le sort de l'appel, les frais doivent être mis à la charge de A.________ (art. 106 al. 1 CPC), sous réserve de l'assistance judiciaire qui lui a été octroyée. Ils comprennent notamment les frais judiciaires dus à l'Etat, arrêtés à CHF 1'000.-.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peuvent être fixés globalement à la somme de CHF 1'000.-, débours compris, plus la TVA par CHF 80.- (8 % de CHF 1'000.-).</w:t>
      </w:r>
    </w:p>
    <w:p>
      <w:r>
        <w:t>Tribunal cantonal TC Page 5 de 5 la Cour arrête: I. L'appel est rejeté, dans la mesure de sa recevabilité. Partant, le chiffre 3 du dispositif de la décision prononcée le 4 octobre 2017 par le Président du Tribunal civil de la Sarine est confirmé. II. Les frais d'appel, dont les frais judiciaires dus à l'Etat arrêtés à CHF 1'000.-, sont mis à la charge de A.________, sous réserve de l'assistance judiciaire qui lui a été octroyée. III. Les dépens d'appel de B.________ sont fixés globalement à la somme de CHF 1'000.-, débours compris, mais TVA en sus par CHF 80.-.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