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25 vom 4. Oktober 2017</w:t>
      </w:r>
    </w:p>
    <w:p>
      <w:r>
        <w:t>FR Kantonsgericht, 2017-10-04, FR</w:t>
      </w:r>
    </w:p>
    <w:p>
      <w:r>
        <w:rPr>
          <w:b/>
        </w:rPr>
        <w:t xml:space="preserve">Quelle: </w:t>
      </w:r>
      <w:r>
        <w:t>https://mcp.opencaselaw.ch/entscheid/fr_gerichte_101_2017_25</w:t>
      </w:r>
    </w:p>
    <w:p>
      <w:r>
        <w:t>FR: FR_GERICHTE 101 2017 25 du 4 octobre 2017</w:t>
      </w:r>
    </w:p>
    <w:p>
      <w:r>
        <w:t>IT: FR_GERICHTE 101 2017 25 del 4 ottobre 2017</w:t>
      </w:r>
    </w:p>
    <w:p>
      <w:pPr>
        <w:pStyle w:val="Heading2"/>
      </w:pPr>
      <w:r>
        <w:t>Regeste</w:t>
      </w:r>
    </w:p>
    <w:p>
      <w:r>
        <w:t>Arrêt de la Ie Cour d'appel civil du Tribunal cantonal | Sachenrecht</w:t>
      </w:r>
    </w:p>
    <w:p>
      <w:pPr>
        <w:pStyle w:val="Heading2"/>
      </w:pPr>
      <w:r>
        <w:t>Erwägungen</w:t>
      </w:r>
    </w:p>
    <w:p>
      <w:r>
        <w:rPr>
          <w:b/>
        </w:rPr>
        <w:t>E. 29</w:t>
      </w:r>
    </w:p>
    <w:p>
      <w:r>
        <w:t>septembre 1978, A.________ a transféré à D.________ ses parts sociales pour un montant de DEM 27.01 millions. A.________ quitta en outre toutes fonctions dans les conseils d’administration des sociétés, y compris de B.________ SA. En 2003, G.________ est devenue le nouveau propriétaire du groupe F.________, entretemps entré en bourse. b) Une action en partage intentée en 2003 par A.________, portant sur EUR 15 millions, a été déclarée irrecevable par le Tribunal de la Sarine en juin 2006. Cette décision a été confirmée en appel le 1er février 2007 (A2 2006 173), puis par le Tribunal fédéral le 7 juillet 2008 (5A_230/2007). Une procédure arbitrale a ensuite opposé les parties depuis 2009, à l’initiative de A.________, qui a retiré sa demande le 11 mars 2011 en fonction d'un accord transactionnel dont il a été pris acte par sentence de classement du 22 mars 2011. B. a) Par requête en conciliation du 22 juin 2016, A.________ a demandé au Président du Tribunal civil de l’arrondissement de la Sarine (ci-après: le Président du Tribunal) de tenter la conciliation avec les sociétés B.________ SA, C.________. et D.________ sur les conclusions suivantes: « Principalement I. La Demande est admise; II. Condamner D.________ à restituer à A.________ les actions nominatives, n° 17, 21, 25 et 137 à 170, de la société B.________ SA, sous la menace de la peine d’amende prévue par l’art. 292 CP qui réprime l’insoumission à une décision de l’autorité;</w:t>
      </w:r>
    </w:p>
    <w:p>
      <w:r>
        <w:t>Tribunal cantonal TC Page 3 de 10 III. Ordre est donné à la société B.________ SA d’inscrire A.________ en qualité de propriétaire des actions nominatives n° 17, 21, 25 et 137 à 170 de la société B.________ SA, dans le registre des actionnaires. Subsidiairement I. La Demande est admise; II. Condamner la société C.________. à restituer à A.________ les actions nominatives n° 17, 21, 25 et 137 à 170 de la société B.________ SA, sous la menace de la peine d’amende prévue par l’art. 292 CP qui réprime l’insoumission à une décision de l’autorité; III. Ordre est donné à la société B.________ SA d’inscrire A.________ en qualité de propriétaire des actions nominatives n° 17, 21, 25 et 137 à 170 de la société B.________ SA, dans le registre des actionnaires. » b) Par mémoire séparé du même jour, A.________ a déposé une requête de mesures provisionnelles, concluant à ce qu‘interdiction soit faite à B.________ SA, à C.________ et à D.________, sous menace des peines de droit de l’art. 292 CP, de disposer des actions nominatives n° 17, 21, 25 et 137 à 170 de B.________ SA, dont la valeur est estimée à CHF 1 million au minimum, et à ce qu’elle soit autorisée à participer à l’assemblée générale de B.________ SA. Cette requête a été déclarée irrecevable par ordonnance du 17 septembre 2016, confirmée en appel par arrêt du 10 mars 2017 (101 2016 342). c) Consécutivement à l’autorisation de procéder délivrée le 30 août 2016, la demanderesse a suivi en cause par mémoire de demande daté du 30 novembre 2016 et adressé le 1er décembre 2016, en reprenant les mêmes conclusions que celles de la requête de conciliation. C. Par décision du 20 décembre 2016, le Tribunal civil de la Sarine a déclaré la demande de A.________ irrecevable et l’a condamnée au frais judiciaires à hauteur de CHF 1'000.-. D. Le 20 janvier 2017, A.________ a appelé de cette décision en prenant les conclusions suivantes: « Fondée sur ce qui précède, l’Appelante A.________ a l’honneur de conclure, sous suite de frais et dépens, à ce qu’il plaise au Tribunal cantonal du canton de Fribourg bien vouloir dire et prononcer: Principalement I. L’Appel est admis; II. La décision rendue par le Tribunal civil de l’arrondissement de la Sarine le 20 décembre 2016 dans la cause n° 15 2016 177 est réformée en ce sens que l’Action en revendication déposée le</w:t>
      </w:r>
    </w:p>
    <w:p>
      <w:r>
        <w:rPr>
          <w:b/>
        </w:rPr>
        <w:t>E. 30</w:t>
      </w:r>
    </w:p>
    <w:p>
      <w:r>
        <w:t>juillet 1976 (décision attaquée, p. 5, 4e §). Partant, ce deuxième grief est infondé. 6. Dans un troisième et dernier grief (appel, p. 15 ss, let. C), l’appelante invoque une violation de l’art. 59 al. 2 let. e CPC et une constatation inexacte des faits s’agissant de l’interprétation de la prétendue quittance pour solde de tout compte. En substance, elle soutient que la cause au fond n’a pas fait l’objet d’une décision d’entrée en force et que, par conséquent, son action en revendication serait recevable. Etant donné qu'il est retenu ce jour que la juridiction étatique n'est pas compétente pour connaître du litige puisque les parties ont convenu de le soumettre à l'arbitrage, il n'appartient pas à la Cour de se prononcer sur ce grief. 7. Compte tenu de ce qui précède, il convient de rejeter l’appel dans la mesure où il est recevable et de confirmer la décision attaquée. 8. a) Aux termes de l’art. 106 al. 1 CPC, les frais seront mis à la charge de la partie succombante. En l’espèce, l’appel est rejeté. Dans ces circonstances, les frais d’appel seront mis à la charge de l’appelante. Il ne se justifie pas non plus de modifier la répartition des frais de première instance. b) En application des art. 10 ss du Règlement sur la justice du 30 novembre 2010 [RJ; RSF 130.11], les frais judiciaires dus à l’Etat pour le présent arrêt seront fixés à CHF 10'000.-. c)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8 % (art. 25 al. 1 LTVA). En l'espèce, la liste de frais des avocats des intimées mentionne un temps de travail de l'ordre de 22 heures, soit légèrement plus que celui indiqué du côté appelante (~ 20 h.). Le supplément est admissible dans la mesure où il résulte manifestement de questions linguistiques. Il découle de ce</w:t>
      </w:r>
    </w:p>
    <w:p>
      <w:r>
        <w:t>Tribunal cantonal TC Page 10 de 10 temps de travail et du tarif une base d'honoraires de CHF 5'333.35. Les intimées y ajoutent une majoration de 163.05 % en fonction d'une valeur litigieuse de CHF 1'000'000.-. Aucune contestation n'a été élevée par l'appelante à qui la liste précitée a été communiquée en copie. Il n'y a dès lors aucune raison de s'en écarter, la majoration étant conforme à l'art. 66 al. 2 let. d RJ et annexe 2 RJ. Cela entraîne des honoraires à hauteur de CHF 14'029.35 qui seront portés en arrondi à CHF 14'500.- pour tenir compte de la correspondance de simple gestion administrative. Quant aux débours, en l'occurrence uniquement sous forme de frais de copie, port et téléphone, ils seront fixés à CHF 266.65. Après adjonction du remboursement de la TVA (14'766.65 x 8% = 1'181.35), les dépens des intimées pour l'instance d'appel seront ainsi fixés au montant total de CHF 15'948.-. d) L'appelante ayant versé des sûretés de CHF 20'549.- pour garantir les dépens des intimées, il se justifie de libérer ce montant en faveur de ces dernières à hauteur de CHF 15'948.-, le solde devant être restitué à l'appelante. la Cour arrête: I. L'appel est rejeté dans la mesure où il est recevable. Partant, la décision du 20 décembre 2016 est confirmée. II. Les frais d'appel sont mis à la charge de A.________. Ils comprennent notamment les frais judiciaires dus à l'Etat pour le présent arrêt, fixés à CHF 10'000.- prélevés sur son avance et le solde lui sera restitué. III. Les dépens d'appel dus par A.________ à B.________ SA, C.________. et D.________ sont fixés à CHF 15'948.-, TVA par CHF 1'181.35 comprise. Le montant de CHF 20'549.- versé au Greffe du Tribunal cantonal au titre de sûretés est libéré en faveur de B.________ SA, C.________. et D.________ à hauteur de CHF 15'948.-, le solde de CHF 4'601.- étant restitué à A.________.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octobre 2017/abj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