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213 vom 24. August 2017</w:t>
      </w:r>
    </w:p>
    <w:p>
      <w:r>
        <w:t>FR Kantonsgericht, 2017-08-24, DE</w:t>
      </w:r>
    </w:p>
    <w:p>
      <w:r>
        <w:rPr>
          <w:b/>
        </w:rPr>
        <w:t xml:space="preserve">Quelle: </w:t>
      </w:r>
      <w:r>
        <w:t>https://mcp.opencaselaw.ch/entscheid/fr_gerichte_101_2017_213</w:t>
      </w:r>
    </w:p>
    <w:p>
      <w:r>
        <w:t>FR: FR_GERICHTE 101 2017 213 du 24 août 2017</w:t>
      </w:r>
    </w:p>
    <w:p>
      <w:r>
        <w:t>IT: FR_GERICHTE 101 2017 213 del 24 agosto 2017</w:t>
      </w:r>
    </w:p>
    <w:p>
      <w:pPr>
        <w:pStyle w:val="Heading2"/>
      </w:pPr>
      <w:r>
        <w:t>Regeste</w:t>
      </w:r>
    </w:p>
    <w:p>
      <w:r>
        <w:t>Urteil des I. Zivilappellationshofes des Kantonsgerichts | Ehescheidung</w:t>
      </w:r>
    </w:p>
    <w:p>
      <w:pPr>
        <w:pStyle w:val="Heading2"/>
      </w:pPr>
      <w:r>
        <w:t>Erwägungen</w:t>
      </w:r>
    </w:p>
    <w:p>
      <w:r>
        <w:rPr>
          <w:b/>
        </w:rPr>
        <w:t>E. 1</w:t>
      </w:r>
    </w:p>
    <w:p>
      <w:r>
        <w:t>a) Mit Berufung anfechtbar sind erstinstanzliche End- und Zwischenentscheide (Art. 308 Abs. 1 Bst. a ZPO). Ein Endentscheid ist ein Entscheid, der das Verfahren prozessual abschliesst, sei dies mit einem materiellen Entscheid oder Nichteintreten. Ein Teilentscheid ist eine Variante des Endentscheids, mit dem über eines oder einige von mehreren Rechtsbegehren abschliessend befunden wird.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oder materiellrechtlicher Natur sein (BGE 133 V 477 E. 4.1). Ein Zwischenentscheid liegt vor, wenn durch abweichende oberinstanzliche Beurteilung sofort ein Endentscheid herbeigeführt und so ein bedeutender Zeit- oder Kostenaufwand gespart werden kann (Art. 237 Abs. 1 ZPO). Sofern durch die Beurteilung der Rechtsmittelinstanz nicht sofort ein Endentscheid herbeigeführt werden kann, ist der Erlass eines Zwischenentscheids nicht zulässig</w:t>
      </w:r>
    </w:p>
    <w:p>
      <w:r>
        <w:t>Kantonsgericht KG Seite 3 von 7 (Urteil OG BE ZK 15 500 vom 11. Dezember 2015 E. 11.2 m.w.H.). Ob der angefochten Entscheid ein taugliches Anfechtungsobjekt darstellt, ist eine Zulässigkeitsvoraussetzung des Rechtsmittels, die erfüllt sein muss, damit auf das Rechtsmittel eingetreten werden kann. Die Zulässigkeit des Rechtsmittels ist von Amtes wegen zu prüfen (Urteil OG BE ZK 15 500 vom 11. Dezember 2015 E. 11.3; BLICKENSTORFER in BRUNNER/GASSER/SCHWANDER, Kommentar ZPO Art. 197-408,</w:t>
      </w:r>
    </w:p>
    <w:p>
      <w:r>
        <w:rPr>
          <w:b/>
        </w:rPr>
        <w:t>E. 2</w:t>
      </w:r>
    </w:p>
    <w:p>
      <w:r>
        <w:t>a)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138 II 501 E. 3.1; 132 II 342 E. 2.1; BGE 129 I 361 E. 2.1). Nichtige Entscheide entfalten keinerlei Rechtswirkung, auch wenn sie unangefochten bleiben (BGE 129 I 361 E. 2.3; 132 II 342 E. 2.1; Urteil KG BL 410 15 165 vom 2. Juni 2015 E. 1 m.w.H.). Soweit die Nichtigkeit nicht von Gesetzes wegen vorgesehen ist, sollte sie allerdings nur ausnahmsweise angenommen werden, gemäss Bundesgericht beispielsweise, wenn aufgrund der konkreten Umstände die blosse Anfechtbarkeit des Entscheides offensichtlich keinen hinreichenden Schutz bietet. Zu denken ist dabei an Fälle, in denen dem Betroffenen entweder die Anfechtung nicht zugemutet werden kann, oder in denen selbst das Einverständnis des Betroffenen nichts an der Unzulässigkeit des Entscheides zu ändern vermöchte (Urteile BGer 4A_679/2016 vom 22. Mai 2017 E. 3.3.2; 4A_267/2012 vom 17. Oktober 2012 E. 1.7.2). b) Nach ständiger Rechtsprechung des Bundesgerichts gilt im Scheidungsverfahren der Grundsatz der Einheit des Scheidungsurteils. Dieser in Art. 283 Abs. 1 ZPO bundesrechtlich verankerte Grundsatz legt fest, dass der Richter, der sich mit dem Scheidungsverfahren befasst, auch für die Regelung aller sich aus der Scheidung ergebenden Nebenfolgen ausschliesslich zuständig ist und darüber einen Gesamtentscheid zu erlassen hat. Durch den Grundsatz der Einheit des Scheidungsurteils soll vor allem verhindert werden, dass die im Scheidungsverfahren massgebenden persönlichen und wirtschaftlichen Grundlagen in zwei getrennten Verfahren unterschiedlich beurteilt werden (BGE 137 III 49 E. 3.5; 134 III 426 E.1.2; 130 III 537 E. 5; 113 II 97 E. 2; BSK ZGB-STECK, 5. Aufl. 2014, Art. 120 N 7a m.w.H.) Der Grundsatz der Einheit des Scheidungsurteils erfährt jedoch verschiedentlich Ausnahmen, so beispielsweise im Hinblick auf die güterrechtliche Auseinandersetzung, die aus wichtigen Gründen in ein separates Verfahren verwiesen werden kann (Art. 283 Abs. 2 ZPO) und beim Vorsorgeausgleich, welcher neuerdings gesamthaft in ein separates Verfahren verwiesen werden kann, wenn Vorsorgeansprüche im Ausland betroffen sind und über deren Ausgleich eine Entscheidung im betreffenden Staat erwirkt werden kann (Art. 283 Abs. 3 ZPO). Im Bereich der beruflichen Vorsorge ergibt sich eine weitere gesetzliche Durchbrechung des Grundsatzes auch für den Fall, dass sich die Ehegatten über die Teilung der Austrittsleistungen nicht einigen (BGE 137 III 49 E. 3.5 mit Verweis auf Art. 142 aZGB, heute Art. 281 Abs. 3 ZPO). Dann entscheidet das Gericht zwar über das Teilungsverhältnis, überweist die Sache anschliessend jedoch an das nach dem Freizügigkeitsgesetz (FZG, SR 831.42) zuständige Gericht. Gemäss bundesgerichtlicher Rechtsprechung kann schliesslich auch eine Ausnahme vom Grundsatz in Betracht kommen, sofern sich der im Scheidungsurteil geregelte Ausgleich der beruflichen Vorsorge im Nachhinein als unvollständig erweisen sollte (Ergänzungs- bzw. Nachverfahren) oder wenn einerseits die erforderlichen Informationen über bestehende Vorsorgeguthaben kaum bzw. gar nicht erhältlich gemacht werden können und andererseits der Vorsorgeausgleich den nachehelichen Unterhalt nicht beeinflussen kann und durch weitere Abklärungen die Scheidung verzögert würde (BGE 137 III 49 E. 3.5 m.w.H.). c) Vorliegend hat die Vorinstanz anlässlich der Sitzung vom 2. Mai 2017 im Einverständnis der Parteien beschlossen, den Zeitpunkt der Teilung der Pensionskassenguthaben mit einem</w:t>
      </w:r>
    </w:p>
    <w:p>
      <w:r>
        <w:t>Kantonsgericht KG Seite 5 von 7 Zwischenentscheid festzulegen. Der entsprechende Entscheid erfolgte am 16. Mai 2017. Weitere Nebenfolgen wurden nicht beurteilt, die Scheidung wurde bisher nicht ausgesprochen. Angesichts der per 1. Januar 2017 in Kraft getretenen Revision des Vorsorgeausgleichs bei Scheidung, welche in Art. 122 ZGB einen neuen Teilungszeitpunkt für die Ansprüche aus beruflicher Vorsorge vorsieht, der auch für das in casu bereits hängige Scheidungsverfahren Anwendung findet (Art. 7d SchlT ZGB), ist durchaus nachvollziehbar, dass die Vorinstanz versucht hat, eine noch wenig beurteilte Rechtsfrage vorab zu klären. Dies umso mehr als die diesbezügliche Problematik des Übergangsrechts von der Rechtsprechung, soweit ersichtlich, noch nicht entschieden wurde und in der Lehre kontrovers diskutiert wird (vgl. dazu Hinweise im vorinstanzlichen Entscheid). Allerdings missachtet die Vorinstanz durch die vorfrageweise Beurteilung des Teilungszeitpunkts, ohne gleichzeitig über die Scheidung bzw. über die restlichen Nebenfolgen zu entscheiden, in krasser Weise den Grundsatz der Einheit des Scheidungsurteils. Soweit der vorliegende Sachverhalt weder Güterrecht noch Vorsorgeansprüche im Ausland betrifft, lässt er sich nicht einer der erstgenannten gesetzlichen Ausnahmen zuordnen. Auch ist nicht ersichtlich, dass die benötigten Informationen über bestehende Vorsorgeguthaben nicht erhältlich gemacht werden könnten. Denkbar wäre somit einzig noch das Vorliegen einer Ausnahme nach Art. 281 Abs. 3 ZPO, zumal sich die Parteien mit dem Stichtag (zumindest) über einen Aspekt der Teilung der Austrittsleistungen nicht mehr einig sind. Der klare Wortlaut dieser Bestimmung hält jedoch fest, dass das Scheidungsgericht die Streitsache „bei Rechtskraft des Entscheids über das Teilungsverhältnis“ dem zuständigen Gericht überweist; also offensichtlich erst nach Erlass des Scheidungsurteils. Generell beziehen sich die genannten Ausnahmen einzig auf Fälle, in denen die Scheidung bereits ausgesprochen wurde und die Nebenfolgen danach allenfalls noch separat geregelt werden. Ein Entscheid über Scheidungsnebenfolgen, welcher ergeht, bevor die Scheidung überhaupt ausgesprochen wurde, ist – wie dem Begriff der Nebenfolgen immanent ist – selbst in Ausnahmesituationen unvorstellbar. Soweit im zu beurteilenden Fall somit offensichtlich keine Ausnahme vom Grundsatz der Einheit des Scheidungsurteils vorliegt, war es der Vorinstanz nicht gestattet, in einer vorweggenommenen Entscheidung über einen Teil der Nebenfolgen der Scheidung zu entscheiden. Dass sie dennoch einen separaten Entscheid gefällt hat, stellt einen krassen Verfahrensfehler und einen besonders schweren Verstoss gegen geltendes Recht (Art. 283 Abs. 1 ZPO) dar. Dieser Mangel ist, wie soeben dargelegt, offensichtlich und leicht erkennbar. Die Aufhebung des Entscheids würde im Übrigen nicht zu einer ernsthaften Gefährdung der Rechtssicherheit führen, als die vorliegende Problematik des Übergangsrechts noch nicht richterlich beurteilt wurde und es an einer entsprechenden Praxis mangelt.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