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17 vom 23. Februar 2017</w:t>
      </w:r>
    </w:p>
    <w:p>
      <w:r>
        <w:t>FR Kantonsgericht, 2017-02-23, FR</w:t>
      </w:r>
    </w:p>
    <w:p>
      <w:r>
        <w:rPr>
          <w:b/>
        </w:rPr>
        <w:t xml:space="preserve">Quelle: </w:t>
      </w:r>
      <w:r>
        <w:t>https://mcp.opencaselaw.ch/entscheid/fr_gerichte_101_2017_17</w:t>
      </w:r>
    </w:p>
    <w:p>
      <w:r>
        <w:t>FR: FR_GERICHTE 101 2017 17 du 23 février 2017</w:t>
      </w:r>
    </w:p>
    <w:p>
      <w:r>
        <w:t>IT: FR_GERICHTE 101 2017 17 del 23 febbraio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10 janvier 2017 (DO/54). Déposé le 19 janvier 2017, l'appel a dès lors été interjeté en temps utile. Le mémoire est de plus dûment motivé et doté de conclusions. En outre, vu la contribution d'entretien de CHF 2'500.- réclamée en première instance, montant que le mari n'admettait qu'à hauteur de CHF 600.-,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CPC) et appliquant le droit d'office (art. 57 CPC). Par ailleurs, la question de la contribution d'entretien entre époux est régie par le principe de disposition (art. 58 CPC).</w:t>
      </w:r>
    </w:p>
    <w:p>
      <w:r>
        <w:t>Tribunal cantonal TC Page 3 de 6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142 III 413 consid. 2.2.2 et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A.________ allègue nouvellement en appel que ses parents et son frère lui ont prêté, en 2014 lors de la construction de sa maison, un montant total de CHF 350'000.- et qu'en janvier 2017 ils lui ont demandé de payer un intérêt sur ces prêts, lui occasionnant une charge supplémentaire de quelque CHF 500.- par mois (appel, p. 6 à 8, et pièces 4 à 11). Il n'explique toutefois pas pour quel motif il n'a pas invoqué en première instance ces emprunts – qui existaient déjà – et le risque de devoir les rémunérer, ni surtout pourquoi c'est précisément après le prononcé de la décision attaquée, qui fixe une pension alimentaire de CHF 2'100.- en faveur de l'intimée, que sa famille lui a soudain réclamé le paiement d'intérêts; à cet égard, il avance certes que son père, compte tenu de la "nouvelle situation financière difficile" de l'appelant, a voulu "préserver son autre fils qui n'a pas les mêmes avantages" (appel, p. 7), mais cet argument paraît peu pertinent et peine à convaincre. A supposer que l'élément nouveau allégué fût recevable, question qui peut demeurer indécise, il semblerait ainsi s'apparenter à une péjoration volontaire de la situation pécuniaire du mari, ce qui s'opposerait à sa prise en compte (cf. arrêt TF 5A_612/2011 du 27 février 2012 consid. 2.1). Au demeurant, comme le relève l'intimée (réponse, p. 6), l'appelant ne démontre pas qu'il a effectivement versé un quelconque montant à titre d'intérêts à ses parents ou à son frère: partant, la charge invoquée ne pourrait de toute façon pas être retenue, faute d'être effective (ATF 126 III 89 consid. 3b; arrêt TF 5A_608/2014 du 16 décembre 2014 consid. 4.1). e) Selon l'art. 316 al. 1 CPC, la Cour d'appel peut ordonner des débats ou statuer sur pièces. En l'espèce, vu l'objet de l'appel et le fait que toutes les pièces nécessaires à son traitement figurent au dossier, il n'est pas nécessaire d'assigner les parties à une audience. f) Vu le montant de CHF 700.- par mois contesté en appel, comme la durée en l'état indéterminée des mesures prononcées, la valeur litigieuse pour un recours au Tribunal fédéral paraît supérieure à CHF 30'000.- (art. 51 al. 1 let. a et al. 4 LTF).</w:t>
      </w:r>
    </w:p>
    <w:p>
      <w:r>
        <w:rPr>
          <w:b/>
        </w:rPr>
        <w:t>E. 2</w:t>
      </w:r>
    </w:p>
    <w:p>
      <w:r>
        <w:t>L'appelant conclut à la diminution, de CHF 2'100.- à CHF 1'400.- par mois, de la contribution d'entretien qu'il a été astreint à verser à son épouse.</w:t>
      </w:r>
    </w:p>
    <w:p>
      <w:r>
        <w:t>Tribunal cantonal TC Page 4 de 6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 En outre, il faut rappeler qu'en matière de fixation de contributions d'entretien, le juge dispose d'un large pouvoir d'appréciation (ATF 138 III 289 consid. 11.1.1 et les références citées). b) En l'espèce, le premier juge a retenu que l'épouse gagne CHF 300.- par mois par une activité d'onglerie à domicile et que, compte tenu de ses charges de CHF 2'950.35, elle subit un déficit mensuel avant impôts de CHF 2'650.35. Il a notamment refusé de lui imputer un revenu hypothétique, compte tenu du fait qu'elle a la garde de deux enfants âgés de 6 et 3 ans (décision attaquée, p. 6 s.). L'appelant ne critique pas ce raisonnement, mais fait valoir que son épouse a indiqué qu'elle espérait gagner CHF 1'500.- par mois en augmentant sa clientèle et que le Président devait dès lors prendre en compte ce revenu (appel, p. 4 s.). Il ne peut toutefois être suivi: l'éventuelle extension d'activité de l'intimée est en l'état un fait futur incertain, de sorte que c'est à juste titre que le premier juge en a fait abstraction. Pour le cas où B.________ devait réellement parvenir à augmenter ses revenus, ce qu'il lui incombera de communiquer à son mari (art. 170 CC), il appartiendra à ce dernier de demander alors la modification de la décision de mesures protectrices de l'union conjugale. Cela étant, un autre élément doit conduire à modifier l'établissement de la situation financière de l'intimée. En effet, l'appelant s'est engagé à verser CHF 1'200.- par mois, plus allocations, pour chacun de ses enfants, ce que le Président a homologué après avoir calculé le coût des garçons à CHF 1'067.50 chacun, selon les tabelles zurichoises réduites de 25 % (décision attaquée, p. 8). Or, il a omis de retrancher les prestations en nature, soit le poste "soins et éducation", alors que la mère est déficitaire et que ces prestations représentent ainsi sa manière de contribuer à l'entretien des enfants. Selon l'édition 2017 des tabelles, disponible on-line, un enfant jusqu'à 6 ans occasionne des coûts directs de CHF 991.-; après correction de la part au logement (CHF 280.50 en l'espèce au lieu de CHF 480.-) et déduction des allocations (CHF 245.-), le coût de D.________, âgé de 3 ans, représente CHF 546.50 par mois, sans même réduire les montants prévus par les tabelles. Quant à C.________, qui est désormais dans sa 7ème année, il occasionne des coûts directs de CHF 801.50 (CHF 1'246.- - CHF 480.- + CHF 280.50 - CHF 245.-). Il apparaît ainsi qu'en acceptant de verser pour ses fils des contributions d'entretien dépassant largement, à concurrence de 50 et plus de 100 %, leur coût effectif, le père rémunère déjà en partie leur prise en charge par la mère, soit leur coût indirect, comme le prévoit le nouvel art. 285 al. 2 CC entré en vigueur le 1er janvier 2017. Celui-ci vise en effet à garantir au parent qui prend en charge les enfants et qui, pour cette raison, ne parvient pas à couvrir ses charges indispensables selon le minimum vital LP, que ses frais de subsistance seront assurés (Message du 29 novembre 2013 concernant la révision du code civil suisse relative à l'entretien de l'enfant, FF 2013 511, p. 535 s. et 556 s.). Il convient dès lors de déduire du déficit de l'intimée la valeur de cette contribution de prise en charge déjà incluse dans le coût des enfants, à hauteur de quelque CHF 1'050.- au total (CHF 400.- pour l'aîné et CHF 650.- pour le cadet). Il en résulte que le déficit déterminant de</w:t>
      </w:r>
    </w:p>
    <w:p>
      <w:r>
        <w:t>Tribunal cantonal TC Page 5 de 6 l'épouse lorsqu'il s'agit de calculer sa propre pension alimentaire s'élève à CHF 1'600.- environ (CHF 2'650.35 - CHF 1'050.-). Il est précisé que ce calcul, valable dès l'entrée en vigueur du nouveau droit de l'entretien de l'enfant mineur, est aussi retenu pour décembre 2016, point de départ de la pension, par souci de simplification et afin d'éviter d'avoir pour un seul mois une autre quotité de contribution d'entretien pour l'épouse. c) S'agissant de A.________, le Président a pris en compte un revenu mensuel total de CHF 7'756.05, soit CHF 6'546.60 de salaire par son emploi principal à plein temps, CHF 166.65 provenant d'une activité accessoire et CHF 1'042.80 de revenu locatif (décision attaquée, p. 7). L'appelant critique la prise en compte de son revenu accessoire, au motif qu'il travaille déjà à 100 %, d'une part, et qu'il a décidé d'arrêter cette activité dont le caractère rémunérateur est devenu rare, d'autre part (appel, p. 5 s.). Selon la jurisprudence (arrêts TF 5P.169/2001 du 28 juin 2001 consid. 2b et 5A_816/2014 du</w:t>
      </w:r>
    </w:p>
    <w:p>
      <w:r>
        <w:rPr>
          <w:b/>
        </w:rPr>
        <w:t>E. 3</w:t>
      </w:r>
    </w:p>
    <w:p>
      <w:r>
        <w:t>Vu le sort de la cause et le fait que chaque partie a gain de cause dans une proportion plus ou moins similaire, il se justifie (art. 106 al. 2 CPC) que, sous réserve de l'assistance judiciaire octroyée à B.________, chaque époux supporte ses propres dépens d'appel et la moitié des frais judiciaires dus à l'Etat, fixés à CHF 1'000.-. (dispositif en page suivante)</w:t>
      </w:r>
    </w:p>
    <w:p>
      <w:r>
        <w:t>Tribunal cantonal TC Page 6 de 6 la Cour arrête: I. L'appel est partiellement admis. Partant, le chiffre 7 du dispositif de la décision prononcée le 23 décembre 2016 par le Président du Tribunal civil de la Sarine est réformé comme suit: "7. A.________ contribue à l’entretien de son épouse par le versement d’une pension mensuelle de CHF 1'800.-, dès le 1er décembre 2016. Dite pension est payable d’avance, le premier de chaque mois, en mains de B.________, et porte intérêt à 5 % l’an dès chaque échéance. Elle sera indexée le 1er janvier de chaque année sur la base de l’indice des prix à la consommation de novembre de l’année précédente, l’indice de base étant celui d’octobre 2016, seulement si les revenus de A.________ sont indexés dans la même mesure, à charge pour ce dernier d’établir le contraire." II. Sous réserve de l'assistance judiciaire octroyée à B.________, chaque partie supporte ses propres dépens d'appel et la moitié des frais judiciaires dus à l'Etat, fixés à CHF 1'000.-.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