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37 vom 29. April 2016</w:t>
      </w:r>
    </w:p>
    <w:p>
      <w:r>
        <w:t>FR Kantonsgericht, 2016-04-29, FR</w:t>
      </w:r>
    </w:p>
    <w:p>
      <w:r>
        <w:rPr>
          <w:b/>
        </w:rPr>
        <w:t xml:space="preserve">Quelle: </w:t>
      </w:r>
      <w:r>
        <w:t>https://mcp.opencaselaw.ch/entscheid/fr_gerichte_101_2016_37</w:t>
      </w:r>
    </w:p>
    <w:p>
      <w:r>
        <w:t>FR: FR_GERICHTE 101 2016 37 du 29 avril 2016</w:t>
      </w:r>
    </w:p>
    <w:p>
      <w:r>
        <w:t>IT: FR_GERICHTE 101 2016 37 del 29 aprile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19 janvier 2016 (DO/136). Déposé le 29 janvier 2016, l'appel a dès lors été interjeté en temps utile. Le mémoire est</w:t>
      </w:r>
    </w:p>
    <w:p>
      <w:r>
        <w:t>Tribunal cantonal TC Page 3 de 9 de plus dûment motivé et doté de conclusions. En outre, vu les contributions d'entretien réclamées en première instance, soit respectivement CHF 1'000.- et CHF 700.-, montants que le mari n'admettait qu'à hauteur de CHF 500.-,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un enfant mineur, n'étant pas lié par les conclusions des parties (maxime d'office, art. 296 al. 3 CPC). En revanche, la contribution d'entretien entre époux est régie par le principe de disposition (art. 58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Selon le Tribunal fédéral, cette manière de voir n'est pas arbitraire (arrêt TF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w:t>
      </w:r>
    </w:p>
    <w:p>
      <w:r>
        <w:t>Tribunal cantonal TC Page 4 de 9 En l'espèce, le mari a fait nouvellement valoir en appel qu'il se trouvait au chômage "depuis le mois de janvier 2016" ; le 29 mars 2016, il a complété cet allégué en indiquant avoir retrouvé, dès le 21 mars 2016, un emploi lui rapportant environ CHF 500.- net de moins par mois que celui qu'il avait avant d'être mis au chômage. Cependant, les documents qu'il a produits sur invitation de la Cour montrent que son ancien employeur a résilié son contrat de travail le 25 septembre 2015, avec effet au 30 novembre 2015 (pièce 4 de son bordereau d'appel), soit des dates bien antérieures à la reddition de la décision attaquée le 12 janvier 2016. Or, l'appelant n'explique aucunement pour quelle raison il n'a pas invoqué son licenciement en première instance, alors qu'il aurait pu le faire : certes, les débats principaux s'étaient tenus le 8 juin 2015 déjà et la procédure probatoire avait alors été close (DO/79), mais il disposait d'un délai prolongé au 30 septembre 2015 pour produire des documents complémentaires (DO/118). De plus et surtout, la Présidente a informé les parties le 18 décembre 2015, après avoir été relancée par l'épouse, de ce qu'une décision ne pourrait pas être rendue avant la fin du mois de janvier 2016 (DO/124). Vu l'arrêt 5A_22/2014 susmentionné, A.________ était dès lors tenu, durant la longue période de 3 ½ mois ayant séparé son licenciement du prononcé querellé, de communiquer à la première juge cet élément nouveau, en requérant au besoin la réouverture de la procédure probatoire. Ayant omis de faire diligence, il est tardif à invoquer ce fait nouveau en appel, de sorte que ses allégué et offre de preuve à cet égard sont irrecevables. On peut se demander s'il doit en aller de même du fait que l'appelant ait retrouvé, en mars 2016, un emploi moins bien rémunéré que le précédent, cet élément découlant directement de son licenciement, dont l'invocation est irrecevable. Néanmoins, la question peut demeurer ouverte dès lors que, même à supposer que ce fait nouveau – certes intervenu durant la procédure d'appel – soit recevable, il devrait être écarté sur le fond : en effet, il résulte du courrier de licenciement produit que le mari serait réengagé par son ancien employeur au 1er avril 2016 ("Der Wiedereintritt erfolgt am 01. April 2016") et celui-ci n'expose aucunement – si ce n'est en prétendant qu'un nouvel engagement n'était pas garanti, ce qui est toutefois contredit par la pièce 4 de son bordereau d'appel – pour quel motif il a préféré accepter, quelque 10 jours avant cette date, une nouvelle place lui rapportant, à le suivre, sensiblement moins que son emploi précédent. Partant, dans tous les cas, il faudrait retenir que la nouvelle situation professionnelle de l'appelant correspond à une péjoration volontaire de ses revenus, ce qui s'opposerait à sa prise en compte (cf. arrêt TF 5A_612/2011 du 27 février 2012 consid. 2.1).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est supérieure à CHF 30'000.- (art. 51 al. 1 let. a et al. 4 LTF).</w:t>
      </w:r>
    </w:p>
    <w:p>
      <w:r>
        <w:rPr>
          <w:b/>
        </w:rPr>
        <w:t>E. 2</w:t>
      </w:r>
    </w:p>
    <w:p>
      <w:r>
        <w:t>L'appelant conclut à la suppression de la contribution d'entretien allouée à son épouse ainsi qu'à la diminution à CHF 840.-, dès le 1er janvier 2016, de celle de CHF 880.- fixée pour son fils.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w:t>
      </w:r>
    </w:p>
    <w:p>
      <w:r>
        <w:t>Tribunal cantonal TC Page 5 de 9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il ne doit pas trancher, même sous l'angle de la vraisemblance, les questions de fond, objet du procès en divorce, en particulier celle de savoir si le mariage a influencé concrètement la situation financière du conjoint. b) Quant à la contribution en faveur de l'enfant, l'art. 285 al. 1 CC, applicable par renvoi de l'art. 176 al. 3 CC, prévoit qu'elle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 elle est similaire à celles de 2014 et 2015],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10'000 francs par mois (arrêt TF 5A_100/2012 du 30 août 2012 consid. 6 ; arrêt TC FR 101 2009-94 du 7 juillet 2000 in RFJ 2010 337 consid. 2b/bb et les références). c) Enfin, il faut rappeler qu'en matière de fixation de contributions d'entretien, le juge dispose d'un large pouvoir d'appréciation (ATF 138 III 289 consid. 11.1.1 et les références citées).</w:t>
      </w:r>
    </w:p>
    <w:p>
      <w:r>
        <w:rPr>
          <w:b/>
        </w:rPr>
        <w:t>E. 3</w:t>
      </w:r>
    </w:p>
    <w:p>
      <w:r>
        <w:t>a) En l'espèce, la première juge a retenu que le mari gagnait CHF 4'600.- net par mois, y compris le 13ème salaire, les heures supplémentaires, les indemnités pour travail de nuit et dimanche et l'indemnisation de voyage, mais impôt à la source déduit ; elle s'est fondée sur le certificat de salaire 2014 (décision attaquée, p. 8). Outre ses critiques en lien avec sa période de</w:t>
      </w:r>
    </w:p>
    <w:p>
      <w:r>
        <w:t>Tribunal cantonal TC Page 6 de 9 chômage et son nouvel emploi, qui ont été écartées (supra, ch. 1d), l'appelant lui reproche d'avoir pris en compte son salaire 2014, d'une part, et de ne pas avoir déduit les indemnités de voyage et de repas, qui correspondent selon lui à des frais effectifs, d'autre part (appel, p. 6 à 8). Selon l'art. 19 ch. 5 de la convention collective de travail 2012, les employés ont droit, sous la dénomination Reisezeitentschädigung, au remboursement du temps de trajet entre différents chantiers dépassant 30 minutes par jour, selon le salaire de base individuel. Contrairement à ce que soutient l'époux, il ne semble dès lors pas s'agir là d'une indemnité pour frais effectifs de déplacement en voiture, mais bien d'une composante de salaire destinée à compenser des heures passées en trajets, dont la Présidente a correctement tenu compte. Quant à l'indemnité pour repas de midi de CHF 15.- par jour, elle vise certes à couvrir des dépenses supplémentaires, de sorte qu'elle aurait dû être déduite du salaire. Cependant, en parallèle, le minimum vital de base aurait lui aussi dû être diminué d'un montant compris entre CHF 5.- et CHF 10.- par jour, une partie des frais de nourriture étant incluse dans les CHF 1'200.- de minimum vital. Dès lors, ex aequo et bono, il se justifie de ne soustraire que la moitié de l'indemnité perçue pour ces frais. Cela étant, selon les fiches de salaire et les décomptes de chômage au dossier (pièces 5 et 14 du bordereau de première instance, et 6 de celui d'appel), l'appelant a réalisé entre octobre 2014 et juillet 2015 – soit une période assez longue pour calculer un salaire moyen – les revenus mensuels nets suivants, hors allocations familiales et indemnités kilométriques, mais frais de voyage et de repas (à hauteur de la moitié) inclus : CHF 3'713.50 en octobre 2014 (CHF 4'111.50 – CHF 200.- [allocations] – CHF 108.- [indemnité kilométrique] – CHF 90.- [½ des frais de repas]), CHF 5'852.50 en novembre 2014 (même calcul), CHF 6'637.55 en décembre 2014 (CHF 5'494.- de salaire [même calcul] + CHF 1'143.55 du chômage), CHF 2'133.- en janvier 2015, CHF 3'766.85 en février 2015, CHF 4'102.80 en mars 2015, CHF 4'788.80 en avril 2015 (CHF 1'050.75 du chômage + CHF 3'738.05 de salaire), CHF 4'039.45 en mai 2015 (CHF 4'344.45 – CHF 200.- [allocations] – CHF 105.- [½ des frais de repas]), CHF 4'671.- en juin 2015 (même calcul) et CHF 4'066.45 en juillet 2015 (même calcul). Cela représente en moyenne CHF 4'377.20 net, montant qui sera retenu. b) Au niveau des charges du mari, la Présidente a tenu compte d'un total de CHF 2'426.45, sans retenir l'impôt et l'assurance véhicule, mais bien la mensualité de leasing par CHF 238.05. L'appelant le lui reproche, demandant qu'un montant de CHF 114.- par mois soit pris en considération pour l'assurance et l'impôt (appel, p. 8). Cependant, selon la jurisprudence, les frais de véhicule ne sont comptés que si l'usage en est indispensable, par exemple faute de transports publics aux heures de travail ou au lieu de domicile, ou eu égard à l'état de santé voire à la présence de plusieurs enfants à transporter (arrêt TF 5P.238/2005 du 28 novembre 2005 consid. 4.2.2). Or, en l'espèce, selon son contrat de travail du 23 mars 2015 avec D.________ AG (pièce 11 du bordereau de première instance), le Übernahmeort de l'appelant se situait à Fribourg, de sorte qu'il n'a pas rendu vraisemblable qu'il a dû assumer des déplacements en voiture pour se rendre sur son lieu de travail. C'est donc à juste titre, même si c'était pour d'autres motifs, que la première juge a fait abstraction de ces frais. Après déduction de ses charges, A.________ dispose d'un solde mensuel de CHF 1'950.75, impôts payés.</w:t>
      </w:r>
    </w:p>
    <w:p>
      <w:r>
        <w:t>Tribunal cantonal TC Page 7 de 9 c) S'agissant de l'intimée, la décision querellée retient (p. 7 s.) qu'elle peut compter sur un revenu mensuel net de CHF 2'557.20, soit le cumul d'un salaire pour une activité de serveuse à 60 % (CHF 1'554.70) et celui réalisé par des ménages chez des particuliers (CHF 1'002.50). L'appelant critique cette somme, arguant qu'un revenu hypothétique pour une activité lucrative à plein temps aurait dû être imputé à son épouse (appel, p. 9 s.). La jurisprudence (ATF 137 III 102 consid. 4.2.2.2) admet qu'il est généralement présumé déraisonnable d'exiger la reprise ou l'extension d'une activité lucrative au-delà de l'âge de 45, voire 50 ans (c'est l'âge lors de la séparation qui est déterminant :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 méthodes de calcul, montant, durée et limites, in SJ 2007 II 77, p. 97). De plus, en cas de garde attribuée à un seul parent, la reprise d'une activité lucrative à 50 % ne peut en principe être exigée de ce parent que lorsque le plus jeune enfant a atteint l'âge de 10 ans, et un emploi à plein temps lorsque cet enfant a 16 ans révolus, mais cette règle n'est pas absolue et l'âge et l'état de santé de l'épouse à ce moment-là jouent un rôle (ATF 137 III 102 consid. 4.2.2.2). En l'espèce, l'intimée aura 44 ans cette année et elle est certes largement déchargée des soins à prodiguer à son fils, qui va avoir 16 ans. Cependant, elle cumule déjà plusieurs emplois peu qualifiés pour un taux de 80 % environ et il n'est pas certain, même si elle trouvait une place à plein temps pour un seul employeur, qu'elle ait la possibilité effective de gagner sensiblement plus que le revenu pris en compte : il est en effet notoire qu'un travailleur nouvellement engagé est moins payé que celui qui a quelques années d'ancienneté dans l'entreprise. Il convient dès lors, en l'état, de faire abstraction d'un salaire plus élevé (ATF 137 III 118 consid. 2.3). d) Quant aux charges de l'épouse, la Présidente a retenu un total de CHF 3'247.10 par mois, dont CHF 260.- de frais de déplacement et CHF 379.10 de prime de caisse-maladie (décision attaquée, p. 8). Le mari critique ces deux postes. Concernant les frais de véhicule, calculés selon la formule jurisprudentielle (RFJ 2003 p. 227 consid. 2e), il reproche à la première juge d'avoir inclus CHF 100.- pour l'assurance et l'impôt véhicule, alors que l'intimée n'avait produit aucun justificatif de ces charges (appel, p. 10). Il omet cependant que le montant de CHF 100.- en question est forfaitaire et, en outre, que le juge doit ici établir les faits d'office (art. 272 CPC). Son grief tombe dès lors à faux. Quant à la prime de caisse-maladie, l'appelant indique que son épouse pourra vraisemblablement, au vu de son revenu, bénéficier de subsides cantonaux dès l'année 2016 (appel, p. 11). Point n'est toutefois besoin de trancher cette question, vu le sort qui doit être donné à l'appel concernant la pension pour l'épouse (infra, ch. 3f). Le déficit mensuel subi par l'épouse a dès lors été correctement calculé par la Présidente, à hauteur de CHF 689.90 par mois, impôts payés. e) Le coût de l'enfant C.________ a été arrêté, sur la base de la méthode du minimum vital, à CHF 877.40, allocations de CHF 200.- déduites (décision attaquée, p. 9). L'appelant ne s'en prend à ce calcul que pour faire valoir que, dans la mesure où il se trouvait au chômage, son épouse pourrait désormais percevoir l'allocation cantonale de CHF 245.-, ce qui réduirait le coût à</w:t>
      </w:r>
    </w:p>
    <w:p>
      <w:r>
        <w:t>Tribunal cantonal TC Page 8 de 9 sa charge (appel, p. 13). Cependant, l'invocation du chômage du père étant irrecevable, il n'y a pas lieu de revoir le montant de la pension pour son fils. L'appel est rejeté sur cette question. Au demeurant, la différence entre la pension allouée et proposée est modique par rapport au disponible confortable de l'appelant. f) Après versement des CHF 880.- en faveur de son fils, l'appelant dispose encore d'un disponible mensuel de CHF 1'070.75, avec lequel il a largement les moyens de combler le déficit de son épouse, par CHF 700.- environ. La situation serait identique même si l'intimée avait droit à une subvention totale pour sa prime de caisse-maladie : son déficit se trouverait alors réduit à CHF 310.80, de sorte qu'un partage des soldes par la moitié aboutirait à une contribution d'entretien de CHF 690.80 (CHF 310.80 + [½ x (CHF 1'070.75 – CHF 310.80)], arrondie à CHF 700.-. L'appel est rejeté sur cette question également.</w:t>
      </w:r>
    </w:p>
    <w:p>
      <w:r>
        <w:rPr>
          <w:b/>
        </w:rPr>
        <w:t>E. 4</w:t>
      </w:r>
    </w:p>
    <w:p>
      <w:r>
        <w:t>a) Vu le sort de l'appel, les frais doivent être mis intégralement à la charge de A.________ (art. 106 al. 1 CPC), sous réserve de l'assistance judiciaire qui lui a été octroyée. Ils comprennent notamment les frais judiciaires dus à l'Etat, fixés à CHF 1'000.-.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1'200.-, débours compris, plus la TVA par CHF 96.- (8 % de CHF 1'200.-). la Cour arrête : I. L'appel est rejeté. Partant, les chiffres 6, 7 et 8 du dispositif de la décision rendue le 12 janvier 2016 par la Présidente du Tribunal civil de la Sarine sont confirmés. II. Sous réserve de l'assistance judiciaire, les frais d'appel seront supportés par A.________. Ils comprennent notamment les frais judiciaires dus à l'Etat pour le présent arrêt, fixés à CHF 1'000.-. III. Les dépens d'appel de B.________ sont fixés globalement à la somme de CHF 1'200.-, débours compris, plus la TVA par CHF 96.-. IV. Communication.</w:t>
      </w:r>
    </w:p>
    <w:p>
      <w:r>
        <w:t>Tribunal cantonal TC Page 9 de 9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