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214 vom 21. Juli 2016</w:t>
      </w:r>
    </w:p>
    <w:p>
      <w:r>
        <w:t>FR Kantonsgericht, 2016-07-21, DE</w:t>
      </w:r>
    </w:p>
    <w:p>
      <w:r>
        <w:rPr>
          <w:b/>
        </w:rPr>
        <w:t xml:space="preserve">Quelle: </w:t>
      </w:r>
      <w:r>
        <w:t>https://mcp.opencaselaw.ch/entscheid/fr_gerichte_101_2016_214</w:t>
      </w:r>
    </w:p>
    <w:p>
      <w:r>
        <w:t>FR: FR_GERICHTE 101 2016 214 du 21 juillet 2016</w:t>
      </w:r>
    </w:p>
    <w:p>
      <w:r>
        <w:t>IT: FR_GERICHTE 101 2016 214 del 21 luglio 2016</w:t>
      </w:r>
    </w:p>
    <w:p>
      <w:pPr>
        <w:pStyle w:val="Heading2"/>
      </w:pPr>
      <w:r>
        <w:t>Regeste</w:t>
      </w:r>
    </w:p>
    <w:p>
      <w:r>
        <w:t>Entscheid des I. Zivilappellationshofes des Kantonsgerichts | Höhe der Parteikosten (Art. 110 ZPO; 74 JR)</w:t>
      </w:r>
    </w:p>
    <w:p>
      <w:pPr>
        <w:pStyle w:val="Heading2"/>
      </w:pPr>
      <w:r>
        <w:t>Erwägungen</w:t>
      </w:r>
    </w:p>
    <w:p>
      <w:r>
        <w:rPr>
          <w:b/>
        </w:rPr>
        <w:t>E. 1</w:t>
      </w:r>
    </w:p>
    <w:p>
      <w:r>
        <w:t>Die Kostenliste von Rechtsanwalt A.________ wird wie folgt festgesetzt: Honorar (CHF 180.00/Std.) CHF 1‘425.00 Auslagen CHF 181.30 Subtotal CHF 1‘606.30 Mehrwertsteuer 8 % CHF 128.50 Gebühren CHF 18.00 Total CHF 1‘752.80</w:t>
      </w:r>
    </w:p>
    <w:p>
      <w:r>
        <w:rPr>
          <w:b/>
        </w:rPr>
        <w:t>E. 2</w:t>
      </w:r>
    </w:p>
    <w:p>
      <w:r>
        <w:t>Die Parteientschädigung für Rechtsanwalt A.________ wird global auf CHF 300.- festgelegt, zuzüglich CHF 24.- MwSt. III.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21. Juli 2016/swo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