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137 vom 21. Juli 2016</w:t>
      </w:r>
    </w:p>
    <w:p>
      <w:r>
        <w:t>FR Kantonsgericht, 2016-07-21, FR</w:t>
      </w:r>
    </w:p>
    <w:p>
      <w:r>
        <w:rPr>
          <w:b/>
        </w:rPr>
        <w:t xml:space="preserve">Quelle: </w:t>
      </w:r>
      <w:r>
        <w:t>https://mcp.opencaselaw.ch/entscheid/fr_gerichte_101_2016_137</w:t>
      </w:r>
    </w:p>
    <w:p>
      <w:r>
        <w:t>FR: FR_GERICHTE 101 2016 137 du 21 juillet 2016</w:t>
      </w:r>
    </w:p>
    <w:p>
      <w:r>
        <w:t>IT: FR_GERICHTE 101 2016 137 del 21 luglio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jugement attaqué a été notifié à la mandataire de l'appelante le 13 avril 2016 (DO/50). Déposé le lundi 25 avril 2016, dernier jour reporté (art. 142 al. 3 CPC) du délai arrivé à échéance le samedi précédent, l'appel a dès lors été interjeté en temps utile. Le mémoire est de plus dûment motivé et doté de conclusions. En outre, vu les contributions d'entretien réclamées, la valeur litigieuse en appel est clairement supérieure à CHF 10'000.-, et même à CHF 30'000.-.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w:t>
      </w:r>
    </w:p>
    <w:p>
      <w:r>
        <w:t>Tribunal cantonal TC Page 3 de 7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Le 4 juillet 2016, C.________, aujourd'hui majeure, ne s'est pas opposée à ce que le principe et le montant de la contribution d'entretien en sa faveur soient discutés dans la présente procédure ; elle a indiqué qu'elle souhaiterait bénéficier d'un montant mensuel de CHF 1'000.- de la part de son père. On doit en conclure qu'elle a donné procuration à ses parents s'agissant des pensions postérieures à son accès à la majorité (ATF 129 III 55 ; arrêt TF 5A_237/2013 du 29 août 2013 consid. 1). e)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2</w:t>
      </w:r>
    </w:p>
    <w:p>
      <w:r>
        <w:t>L'appelante critique l'absence de toute contribution d'entretien à la charge de son mari. Elle requiert que ce dernier se voit imputer un revenu hypothétique et qu'il soit ainsi astreint à verser chaque mois CHF 1'000.- par enfant, plus les allocations, et CHF 800.- pour elle-même.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Quant à la contribution en faveur de l'enfant, l'art. 285 al. 1 CC, applicable par renvoi de l'art.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 elle est similaire à celle de 2015], publiées on-line, peuvent servir de point de départ pour la détermination des besoins d'un enfant dans un cas concret. Toutefois, il s'agit de recommandations concernant les besoins d'entretien statistiques moyens ;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w:t>
      </w:r>
    </w:p>
    <w:p>
      <w:r>
        <w:t>Tribunal cantonal TC Page 4 de 7 CHF 10'000.- par mois (arrêt TF 5A_100/2012 du 30 août 2012 consid. 6 ; arrêt TC FR 101 2009- 94 du 7 juillet 2000 in RFJ 2010 337 consid. 2b/bb et les références). b)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 il doit ensuite examiner si la personne a la possibilité effective d’exercer l’activité ainsi déterminée et quel revenu elle peut en obtenir, compte tenu des circonstances subjectives susmentionnées, ainsi que du marché du travail (ATF 137 III 102 consid. 4.2.2.2). Quand il s’agit d’un enfant mineur, il faut poser des exigences particulièrement élevées au sujet de la mise à profit de la capacité de gain. Ceci vaut avant tout dans les cas où les conditions économiques sont modestes. Ensuite, les critères valables en matière d’assurance-chômage ne peuvent pas être repris sans autre. On peut en effet prendre en considération des activités lucratives qui n’exigent pas une formation professionnelle accomplie et qui figurent dans la tranche des bas salaires (ATF 137 III 118 consid. 3.1). Si le juge entend exiger que le débirentier reprenne une activité lucrative, il doit lui accorder un délai d'adaptation approprié : il doit en effet avoir suffisamment de temps pour s'adapter à sa nouvelle situation, notamment lorsqu'il doit trouver un emploi. Ce délai doit par ailleurs être fixé en fonction des circonstances concrètes du cas particulier (ATF 129 III 417 consid. 2.2 ; arrêt TF 5A_651/2014 du 27 janvier 2015 consid. 3.1). c) Enfin, il faut rappeler qu'en matière de fixation de contributions d'entretien, le juge dispose d'un large pouvoir d'appréciation (ATF 138 III 289 consid. 11.1.1 et les références citées).</w:t>
      </w:r>
    </w:p>
    <w:p>
      <w:r>
        <w:rPr>
          <w:b/>
        </w:rPr>
        <w:t>E. 3</w:t>
      </w:r>
    </w:p>
    <w:p>
      <w:r>
        <w:t>a) En l'espèce, la première juge a retenu que A.________ gagne CHF 4'811.70 net par mois, part au 13ème salaire incluse et allocations familiales déduites. Elle a arrêté ses charges à CHF 3'198.- par mois, dont CHF 1'110.- (CHF 1'850.- – CHF 740.-) de loyer, après déduction des parts des enfants, d'où un disponible mensuel avant impôts de CHF 1'613.70 (jugement attaqué, p. 8 et 10). L'appelante lui reproche d'avoir déduit les parts au loyer de ses enfants, alors que, son mari ne versant rien pour l'entretien de la famille, elle doit acquitter elle-même l'entier des frais de logement. De même, elle critique l'absence de prise en compte, dans ses charges, du coût d'entretien de C.________ et D.________ (appel, p. 9). Elle oublie cependant qu'il s'agit précisément de déterminer la répartition du coût des enfants entre les parents et, dans ce contexte, il convient dans un premier temps d'établir les revenus et charges propres de chaque époux. Partant, le mode de calcul de la Présidente ne prête pas le flanc à la critique. b) S'agissant de B.________, la première juge a pris en compte un revenu mensuel total de CHF 4'249.-, soit CHF 2'000.- de revenu locatif d'un appartement dont les époux sont copropriétaires à E.________, CHF 600.- provenant de la sous-location d'une chambre de leur appartement de F.________ – occupé par le mari – à une étudiante et CHF 1'649.- réalisés par</w:t>
      </w:r>
    </w:p>
    <w:p>
      <w:r>
        <w:t>Tribunal cantonal TC Page 5 de 7 une activité à 50 % au sein de la société de taxis qu'il gère (jugement attaqué, p. 9 s.). Elle a refusé de lui imputer un revenu hypothétique pour une activité à plein temps, relevant que depuis une dizaine d'années, malgré une opération et la mise en place d'une prothèse totale du dos, il souffre de douleurs dorsales récurrentes qui l'empêchent d'exercer pleinement son activité et ne lui permettent d'accomplir que des travaux légers. L'appelante critique ce raisonnement. Elle fait valoir qu'il existe des doutes quant au revenu que son mari retire réellement de sa société de taxis, qui ne réaliserait aucun bénéfice alors qu'elle emploie, en plus de l'intimé, 4 personnes. De plus et surtout, elle invoque le fait que, depuis 2005,</w:t>
      </w:r>
    </w:p>
    <w:p>
      <w:r>
        <w:rPr>
          <w:b/>
        </w:rPr>
        <w:t>E. 4</w:t>
      </w:r>
    </w:p>
    <w:p>
      <w:r>
        <w:t>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En l'espèce, l'appelante obtient partiellement gain de cause sur la question des pensions en faveur des enfants, tandis que son chef de conclusions tendant au versement d'une contribution pour elle-même est rejeté. Elle avait de plus raison sur la nécessité de corriger le jugement de première instance en lien avec le revenu de son mari, question qui a occasionné le plus de développements en appel. Dans ces conditions, compte tenu encore de la possibilité d'être plus souple dans l'attribution des frais lorsque le litige relève du droit de la famille, il se justifie que, sous réserve de l'assistance judiciaire octroyée à l'épouse, chaque partie supporte ses propres dépens d'appel et la moitié des frais judiciaires dus à l'Etat, fixés à CHF 1'000.-. (dispositif en page suivante)</w:t>
      </w:r>
    </w:p>
    <w:p>
      <w:r>
        <w:t>Tribunal cantonal TC Page 7 de 7 la Cour arrête : I. L'appel est partiellement admis. Partant, le chiffre 4 du dispositif du jugement prononcé le 30 mars 2016 par la Présidente du Tribunal civil de la Gruyère est réformé comme suit : "4. Dès le 1er janvier 2017, B.________ versera pour chacun de ses enfants une pension mensuelle de CHF 350.-, plus les éventuelles allocations familiales. Ces pensions sont exigibles d'avance le 1er de chaque mois et porteront intérêt à 5 % l'an dès chaque échéance." II. Sous réserve de l'assistance judiciaire octroyée à A.________, chaque partie supporte ses propres dépens d'appel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juillet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