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133 vom 19. Juli 2016</w:t>
      </w:r>
    </w:p>
    <w:p>
      <w:r>
        <w:t>FR Kantonsgericht, 2016-07-19, FR</w:t>
      </w:r>
    </w:p>
    <w:p>
      <w:r>
        <w:rPr>
          <w:b/>
        </w:rPr>
        <w:t xml:space="preserve">Quelle: </w:t>
      </w:r>
      <w:r>
        <w:t>https://mcp.opencaselaw.ch/entscheid/fr_gerichte_101_2016_133</w:t>
      </w:r>
    </w:p>
    <w:p>
      <w:r>
        <w:t>FR: FR_GERICHTE 101 2016 133 du 19 juillet 2016</w:t>
      </w:r>
    </w:p>
    <w:p>
      <w:r>
        <w:t>IT: FR_GERICHTE 101 2016 133 del 19 luglio 2016</w:t>
      </w:r>
    </w:p>
    <w:p>
      <w:pPr>
        <w:pStyle w:val="Heading2"/>
      </w:pPr>
      <w:r>
        <w:t>Regeste</w:t>
      </w:r>
    </w:p>
    <w:p>
      <w:r>
        <w:t>Arrêt de la Ie Cour d'appel civil du Tribunal cantonal | Ehescheidung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Le jugement a été notifié au mandataire de l’appelant le 10 mars 2016. Déposé le 22 avril 2016 et compte tenu des féries judiciaires de l’art. 145 al. 1 CPC, l’appelant a respecté le délai d’appel. Le mémoire est de plus motivé et doté de conclusions. En outre, vu le montant de l’entretien contesté en première instance – au moins CHF 300.- par mois et par enfant – la valeur litigieuse en appel est clairement supérieure à CHF 10'000.-. Il s’ensuit la recevabilité de l’appel. b) La cognition de la Cour d'appel est pleine et entière, en fait comme en droit (art. 310 CPC). S'agissant des contributions d'entretien en faveur des enfants mineurs, le tribunal établit les faits d'office et n'est pas lié par les conclusions des parties (art. 296 al. 1 et 3 CPC). c) En vertu de l'art. 316 al. 1 CPC, la Cour d'appel peut ordonner des débats ou statuer sur pièces. En l'espèce, vu l'objet de l'appel et le fait que toutes les pièces utiles à son traitement figurent au dossier, il n'est pas nécessaire d'assigner les parties à une audience. d) Vu les montants contestés en appel et la durée en l’état indéterminée des mesures prononcées, la valeur litigieuse pour un recours au Tribunal fédéral est largement supérieure à CHF 30'000.- (art. 51 al. 1 let. a et al. 4 LTF).</w:t>
      </w:r>
    </w:p>
    <w:p>
      <w:r>
        <w:rPr>
          <w:b/>
        </w:rPr>
        <w:t>E. 2</w:t>
      </w:r>
    </w:p>
    <w:p>
      <w:r>
        <w:t>L’appelant conteste le montant de la contribution à l’entretien de ses enfants qu’il a été astreint à verser, et plus particulièrement l’imputation d’un revenu hypothétique. a) En ce qui concerne la contribution à l'entretien des enfants, l'art. 285 al. 1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peuvent servir de point de départ pour la détermination des besoins d'un enfant dans un</w:t>
      </w:r>
    </w:p>
    <w:p>
      <w:r>
        <w:t>Tribunal cantonal TC Page 4 de 9 cas concret (cf.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(cf. arrêt TC/FR 101 2009 94 in RFJ 2010 337 consid. 2b/bb). Enfin, le minimum vital du débirentier doit être respecté en tous les cas (cf. ATF 137 III 59 consid. 4.2.1).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C'est pourquoi on lui accorde un certain délai pour s'organiser à ces fins.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5A_453/2015 du 4 novembre 2015 consid. 2.1 et les nombreuses références). Enfin, il faut rappeler qu'en matière de fixation de contributions d'entretien, le juge dispose d'un large pouvoir d'appréciation (cf. ATF 138 III 289 consid. 11.1.1). Le juge peut imputer à un époux un revenu hypothétique, dans la mesure où celui-ci pourrait le réaliser en faisant preuve de bonne volonté et en accomplissant l'effort qui peut être raisonnablement exigé de lui (cf. ATF 137 III 102 consid. 4.2.2.2).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(cf. arrêt TF 5A_541/2015 du 14 janvier 2016 consid. 6.3). b) En l’espèce, l’appelant a perdu son emploi le 30 novembre 2013 et est sans revenu depuis le 19 juin 2015, ayant épuisé son droit aux prestations de chômage. Il y a donc lieu d’examiner si un revenu hypothétique peut ou non lui être attribué.</w:t>
      </w:r>
    </w:p>
    <w:p>
      <w:r>
        <w:t>Tribunal cantonal TC Page 5 de 9 A.________ dispose de nombreux diplômes, de diverses formations et également de connaissances linguistiques développées. Sa formation initiale, acquise à l’EPFL, est celle d’ingénieur en électricité. Il a ensuite suivi plusieurs formations complémentaires, notamment un MBA en gestion d’entreprise, et plus récemment une formation auprès de la Summer school of cost action, « Weather intelligence for renewable energies ». Il a terminé en 2015 la formation « Executive Diploma for Renewable Energy Management » à l’université de Saint-Gall. À ceci s’ajoute un diplôme de l’ETH de Zurich pour une formation suivie entre 2009 et 2011. A.________ dispose d’excellentes connaissances des langues française, allemande, suisse-allemand compris, et anglaise. Il a de plus pris pendant deux ans des cours d’espagnol. En bonne santé et âgé de 46 ans seulement, n’ayant de plus pas été éloigné du marché du travail depuis une trop longue période, durant laquelle il s’est par ailleurs toujours tenu au courant de l’évolution et des changements dans son domaine grâce à ses multiples formations complémentaires, le tribunal de première instance n’a pas retenu à tort que l’on pouvait raisonnablement exiger de l’appelant qu’il exerce une activité lucrative. Concernant la possibilité d’exercer son activité selon la situation sur le marché du travail, l’appelant ne conteste pas l’argumentation du tribunal de première instance, relevant que des postes sont vacants dans la région où il habite, et qu’il est raisonnablement exigible qu’il les accepte. En effet, l’appelant ne peut se limiter à s’intéresser seulement aux postes correspondant à ses nombreuses formations, mais doit se contenter de n’importe quel travail susceptible de fournir des ressources financières suffisantes pour remplir ses obligations de père de famille. À cet égard, son âge n’est pas non plus un critère rédhibitoire au vu des nombreuses possibilités s’offrant à lui dans son choix de carrière. Le nombre d’offres présentées par l’appelant n’est pas non plus suffisant dans sa quotité et sa diversité au regard de ses obligations en tant que père de famille. En effet, s’agissant de l’extrait d’offres présentées par A.________ concernant les années 2012 et 2013, une moyenne de 4 offres par mois au maximum peut être établie, ce qui est clairement insuffisant. De plus, les branches visées par ces offres se situent généralement dans le domaine de l’énergie, et plus principalement les énergies renouvelables. Ce choix, certes compréhensible au vu des dernières formations effectuées par l’appelant, ne se justifie pourtant pas ici. Il devait bien plus s’intéresser à un cercle beaucoup plus large d’offres, notamment au vu de son diplôme en gestion d’entreprise. Quant à l’extrait des mois de juillet et août 2015, s’il semble déjà plus varié dans les domaines pris en compte, il ne présente toujours pas un nombre satisfaisant d’offres par mois, puisque la moyenne s’élève, là aussi, à quelque 5 offres par mois. C’est donc à bon droit que le tribunal de première instance a retenu qu’au vu de sa formation, son âge et son état de santé, on pouvait raisonnablement exiger de A.________ qu’il exerce une activité lucrative. Selon la situation sur le marché, ses nombreuses formations lui offrent un large éventail de possibilités qu’il n’a pas su suffisamment exploiter eu égard à ses obligations de père de famille. c) Pour déterminer le montant du revenu hypothétique, le juge peut se baser notamment sur l’enquête suisse sur la structure des salaires, réalisée par l’Office fédéral de la statistique (www.bfs.admin.ch, sous Thème, Thème n o 03 - Travail, rémunération, sous Salaires et revenus du travail puis Analyse : salaires des cadres / bas salaires, lien situé sous la rubrique Quel salaire pour quel profil ? [consulté le 6 juillet 2016]). En ce qui concerne le montant du revenu hypothétique, c’est à tort que le tribunal de première instance s’est basé sur la formation initiale de l’appelant. Dans le cas d’espèce, il est nécessaire de prendre en compte principalement la</w:t>
      </w:r>
    </w:p>
    <w:p>
      <w:r>
        <w:t>Tribunal cantonal TC Page 6 de 9 dernière formation de l’appelant soit l’Executive Diploma for Renewable Energy Management. Grâce à celle-ci, A.________ pourrait exercer différentes activités lucratives, et ainsi, en qualité de spécialiste en science technique dans le domaine de l’architecture et de l’ingénierie par exemple, réaliser un revenu médian brut de CHF 7’934.-, ou de CHF 8’910.- dans le domaine de la recherche et du développement scientifique. En admettant qu’au vu de son éloignement du marché du travail, il devra se contenter d’un salaire inférieur, il peut encore compter sur un revenu de CHF 6’996.- ou de CHF 7'857.- dans les mêmes fonctions. En matière de profession intermédiaire des sciences et techniques, il aurait la possibilité de gagner un revenu brut de CHF 9’106.- ou CHF 8'029.- dans le domaine de la recherche et du développement scientifique, ou de CHF 8’108.- ou de CHF 7'150.- dans le domaine de l’architecture et de l’ingénierie. Enfin, un revenu brut de CHF 7’372.- ou CHF 6'501.- dans ce même domaine, respectivement de CHF 8’280.- et CHF 7'301.- dans le domaine de la recherche et du développement scientifique pourrait être obtenu dans les métiers de l’électricité et de l’électrotechnique. Ainsi, le revenu brut moyen résultant de ces statistiques s’élève à quelque CHF 8’300.- ou CHF 7'300.- par mois, revenu qui peut être imputé à l’appelant en tant que revenu hypothétique. Au pire, CHF 6'500.- net sont réalisables en toute hypothèse. C’est donc à bon droit que la première instance a retenu que l’on pouvait raisonnablement imputer à A.________ un revenu hypothétique. Cependant, les multiples formations effectuées par A.________ permettent de se baser sur un revenu hypothétique d’une hauteur de CHF 6’500.- net par mois en se fondant sur l’enquête suisse sur la structure des salaires, réalisée par l’Office fédéral de la statistique. d) Les charges de A.________ ne sont pas contestées et semblent adéquates, soit un minimum vital s’élevant à CHF 1'200.- par mois, une prime d’assurance maladie de CHF 390.- par mois et un loyer de CHF 2'334.- par mois charges comprises, auquel il convient de soustraire un montant de sous-location de CHF 2'175.- par mois, ce qui diminue son loyer en conséquence. Les impôts correspondant à son revenu, auquel il est d’usage de soustraire le montant de la contribution due pour l’entretien de ses enfants, s’élèveront à quelque CHF 450.- selon le calculateur d’impôts du canton de Zurich (https://www.steueramt.zh.ch). Ses frais de déplacements peuvent être estimés à CHF 300.- par mois. Ce qui représente un total de CHF 2'449.- par mois. A.________ disposera ainsi d’un solde de CHF 4’000.- par mois, après déduction des charges. e) Les revenus et les charges de l’intimée ne sont pas contestés en appel. B.________ réalise un revenu de CHF 5'800.- par mois, montant auquel s’ajoute CHF 291.- de salaire pour ses travaux de conciergerie. Il n’y a pas lieu d’ajouter les montants réalisés avec sa fiduciaire, dont la raison sociale est G.________ Sàrl, ceux-ci étant réinvestis dans la fiduciaire. Concernant les charges de B.________, son loyer s’élève à CHF 2'430.- par mois, montant duquel se déduisent les frais de loyers compris dans la contribution d’entretien de ses enfants, soit CHF 1'215.-. Sa prime d’assurance-maladie de base est de CHF 358.- par mois. Les frais de transport sont évalués à CHF 315.- par mois (soit CHF 215.- de frais de transport, auquel s’ajoutent CHF 100.- de frais d’entretien). Un montant de CHF 435.- à titre d’impôts cantonal et communal est retenu. B.________ disposera donc quant à elle d’un solde de CHF 2'568.- par mois, après déduction des charges.</w:t>
      </w:r>
    </w:p>
    <w:p>
      <w:r>
        <w:t>Tribunal cantonal TC Page 7 de 9 En application des tabelles zurichoises, le coût de l’entretien des enfants mineurs et majeurs jusqu’à la fin de leur formation s’élève à CHF 1’643.- par enfant. Après déduction des postes soins et éducation et logement, y compris pour F.________ qui a désormais 16 ans, et addition des frais de logement effectifs, les coûts des quatre enfants s’élèvent ainsi à CHF 1’770.- pour C.________ et CHF 1'575.- pour D.________, E.________ et F.________. Le solde disponible de A.________ représentant le 60 % du total des soldes disponibles des parents, il sera tenu de verser les montants suivants, à savoir CHF 880.- par mois (60% de 1'770.- moins 305.-) pour l’enfant majeur C.________, CHF 760.- par mois (60% de CHF 1’575.- moins 305.-) pour l’enfant majeur D.________, CHF 750.- par mois (60% de 1'575.- moins 325.-) pour l’enfant mineur E.________ et enfin CHF 780.- par mois (60% de 1'575.- moins 265.-) pour l’enfant mineure F.________, les éventuelles allocations familiales étant payables en sus. Le solde disponible de A.________, après imputation de son minimum vital et de la pension due aux enfants est de CHF 830.-, alors que celui de B.________ est de CHF 443.-. Ce dernier montant résulte du solde disponible de l’intimée, soit CHF 2'568.-, diminué de sa propre part à l’entretien de l’enfant, soit les coûts totaux des enfants à charge des parents, CHF 5'295.-, moins les pensions versées par A.________, qui s’élèvent en tout à CHF 3’170.-. f) L’appel est partant très partiellement admis et le jugement du 7 mars 2016 modifié en conséquence.</w:t>
      </w:r>
    </w:p>
    <w:p>
      <w:r>
        <w:rPr>
          <w:b/>
        </w:rPr>
        <w:t>E. 3</w:t>
      </w:r>
    </w:p>
    <w:p>
      <w:r>
        <w:t>a)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Si l'instance d'appel statue à nouveau, elle se prononce sur les frais de la première instance (art. 318 al. 3 CPC). b) L’appelant succombant en majeure partie, les frais judiciaires par CHF 1’200.- (émolument global) seront mis à sa charge (art. 106 al. 1 CPC). c) Les frais comprennent d'une part les frais judiciaires par un émolument forfaitaire de décision (art. 95 al. 2 let. b CPC; art. 124 LJ; art. 10 s. et 19 du Règlement sur la justice du 30 novembre 2010 [RJ; RSF 130.11]), et d'autre part les dépens. Selon l'art. 105 al. 2 CPC, le tribunal fixe les dépens selon le tarif,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w:t>
      </w:r>
    </w:p>
    <w:p>
      <w:r>
        <w:t>Tribunal cantonal TC Page 8 de 9 En l’espèce, selon la liste produite, l’avocat expose avoir consacré environ 5,5 heures à la défense des intérêts de l’intimée. À ceci s’ajoutent l’examen de l’arrêt attendu et son explication à la cliente, ce qui fait un total de 6 heures. Cela justifie des honoraires à hauteur de CHF 1'500.-, auxquels s’ajoutent CHF 75.- de débours et CHF 126.- de TVA, soit un total de CHF 1'701.-, à charge de A.________. (dispositif en page suivante)</w:t>
      </w:r>
    </w:p>
    <w:p>
      <w:r>
        <w:t>Tribunal cantonal TC Page 9 de 9 la Cour arrête: I. L'appel est très partiellement admis. Le ch. 4 du jugement du tribunal civil de l’arrondissement de la Glâne du 7 mars 2016 est modifié comme suit :</w:t>
      </w:r>
    </w:p>
    <w:p>
      <w:r>
        <w:rPr>
          <w:b/>
        </w:rPr>
        <w:t>E. 4</w:t>
      </w:r>
    </w:p>
    <w:p>
      <w:r>
        <w:t>A.________ est astreint à contribuer à l’entretien de ses quatre enfants par le versement des pensions suivantes : fr. 880.- par mois en main de l’enfant majeur C.________ jusqu’à la fin de sa formation professionnelle (art. 277 al. 2 CC) ; fr. 760.- par mois en main de l’enfant majeur D.________ jusqu’à la fin de sa formation professionnelle (art. 277 al. 2 CC) ; fr. 750.- par mois en main de B.________ pour l’enfant mineur E.________ jusqu’à sa majorité, respectivement jusqu’à la fin de sa formation professionnelle (art. 277 al. 2 CC) ; fr. 780.- par mois en main de B.________ pour l’enfant mineure F.________ jusqu’à sa majorité, respectivement jusqu’à la fin de sa formation professionnelle (art. 277 al. 2 CC). Les éventuelles allocations familiales perçues par A.________ sont payables en sus. Ces pensions seront payables d’avance, le premier de chaque mois, et porteront un intérêt à 5% l’an dès chaque échéance.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est de 99.6 points (base 100 = décembre 2015). II. Les frais de la procédure d'appel sont mis à la charge de A.________. Les frais judiciaires dus à l'Etat pour la procédure d'appel sont fixés à CHF 1'200.-. Ils seront acquittés par prélèvement sur l'avance versée. Les dépens d'appel de B.________ sont fixés à CHF 1'701.-, TVA par CHF 126.-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2016/mpr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