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62 vom 20. April 2015</w:t>
      </w:r>
    </w:p>
    <w:p>
      <w:r>
        <w:t>FR Kantonsgericht, 2015-04-20, FR</w:t>
      </w:r>
    </w:p>
    <w:p>
      <w:r>
        <w:rPr>
          <w:b/>
        </w:rPr>
        <w:t xml:space="preserve">Quelle: </w:t>
      </w:r>
      <w:r>
        <w:t>https://mcp.opencaselaw.ch/entscheid/fr_gerichte_101_2015_62</w:t>
      </w:r>
    </w:p>
    <w:p>
      <w:r>
        <w:t>FR: FR_GERICHTE 101 2015 62 du 20 avril 2015</w:t>
      </w:r>
    </w:p>
    <w:p>
      <w:r>
        <w:t>IT: FR_GERICHTE 101 2015 62 del 20 aprile 2015</w:t>
      </w:r>
    </w:p>
    <w:p>
      <w:pPr>
        <w:pStyle w:val="Heading2"/>
      </w:pPr>
      <w:r>
        <w:t>Regeste</w:t>
      </w:r>
    </w:p>
    <w:p>
      <w:r>
        <w:t>Arrêt de la Ie Cour d'appel civil du Tribunal cantonal | Auftrag</w:t>
      </w:r>
    </w:p>
    <w:p>
      <w:pPr>
        <w:pStyle w:val="Heading2"/>
      </w:pPr>
      <w:r>
        <w:t>Erwägungen</w:t>
      </w:r>
    </w:p>
    <w:p>
      <w:r>
        <w:rPr>
          <w:b/>
        </w:rPr>
        <w:t>E. 7</w:t>
      </w:r>
    </w:p>
    <w:p>
      <w:r>
        <w:t>avril 2015 a nécessairement été interjeté moins de 10 jours à compter de la notification ; de plus, dans l'hypothèse où un risque de préjudice difficilement réparable serait exigé, celui-ci serait donné, dans la mesure où, si aucune demande de motivation n'est formée à temps, les parties sont considérées avoir renoncé au recours (art. 239 al. 2 in fine CPC) ; qu'aux termes de l'art. 239 al. 2 in initio CPC, lorsque le tribunal communique sa décision sans motivation écrite, les parties peuvent en demander une dans un délai de 10 jours dès la communication de la décision ; qu'en l'espèce, en demandant une motivation écrite le 9 mars 2015 alors que le dispositif de la décision du 13 février 2015 lui avait été notifié le 3 mars 2015, A.________ a respecté le délai de</w:t>
      </w:r>
    </w:p>
    <w:p>
      <w:r>
        <w:rPr>
          <w:b/>
        </w:rPr>
        <w:t>E. 10</w:t>
      </w:r>
    </w:p>
    <w:p>
      <w:r>
        <w:t>jours prévu par l'art. 239 al. 2 CC ; qu'en conséquence, la décision attaquée doit être annulée et la première juge doit être invitée à faire parvenir aux parties sa décision motivée ; qu'en application de l'art. 106 al. 1 CPC, les frais judiciaires dus à l'Etat pour le présent arrêt, fixés à 300 francs, seront mis à la charge de B.________, qui a soutenu la décision querellée et qui succombe ; il ne sera pas alloué de dépens à A.________, qui n'était pas assisté d'un mandataire</w:t>
      </w:r>
    </w:p>
    <w:p>
      <w:r>
        <w:t>Tribunal cantonal TC Page 3 de 3 professionnel et n'a pas requis, au sens de l'art. 95 al. 3 let. c CPC, d'équitable indemnité pour les démarches effectuées ; la Cour arrête : I. Le recours est admis. Partant, la décision rendue le 12 mars 2015 par la Présidente du Tribunal civil de la Broye est annulée. Celle-ci est invitée à faire parvenir aux parties sa décision motivée du 13 février 2015. II. Les frais judiciaires de la procédure de recours, fixés à 300 francs, sont mis à la charge de B.________. III. Pour la procédure de recours, il n’est pas alloué de dépens à A.________.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avril 2015/lfa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