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173 vom 26. November 2015</w:t>
      </w:r>
    </w:p>
    <w:p>
      <w:r>
        <w:t>FR Kantonsgericht, 2015-11-26, FR</w:t>
      </w:r>
    </w:p>
    <w:p>
      <w:r>
        <w:rPr>
          <w:b/>
        </w:rPr>
        <w:t xml:space="preserve">Quelle: </w:t>
      </w:r>
      <w:r>
        <w:t>https://mcp.opencaselaw.ch/entscheid/fr_gerichte_101_2015_173</w:t>
      </w:r>
    </w:p>
    <w:p>
      <w:r>
        <w:t>FR: FR_GERICHTE 101 2015 173 du 26 novembre 2015</w:t>
      </w:r>
    </w:p>
    <w:p>
      <w:r>
        <w:t>IT: FR_GERICHTE 101 2015 173 del 26 novembre 2015</w:t>
      </w:r>
    </w:p>
    <w:p>
      <w:pPr>
        <w:pStyle w:val="Heading2"/>
      </w:pPr>
      <w:r>
        <w:t>Regeste</w:t>
      </w:r>
    </w:p>
    <w:p>
      <w:r>
        <w:t>Arrêt de la Ie Cour d'appel civil du Tribunal cantonal | Wirkungen des Kindesverhältnisses</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procédures d'avis aux débiteurs relatives à l'entretien d'enfants mineurs (art. 302 al. 1 let. c CPC) – est de 10 jours (art. 314 al. 1 CPC).</w:t>
      </w:r>
    </w:p>
    <w:p>
      <w:r>
        <w:t>Tribunal cantonal TC Page 3 de 5 En l'espèce, la décision attaquée a été notifiée au mandataire de l'appelante le 30 juillet 2015. Déposé le 31 juillet 2015, l'appel a dès lors été interjeté en temps utile. Le mémoire est de plus dûment motivé et doté de conclusions. En outre, vu les conclusions – contestées – de première instance, qui portaient sur un ordre à l'employeur à hauteur de CHF 2'100.- par mois pour une durée indéterminée, la valeur litigieuse en appel est clairement supérieure à CHF 10'000.-. Il s'ensuit la recevabilité de l'appel. b) La procédure sommaire (art. 252 ss CPC) s'applique à la présente cause (art. 302 al. 1 let. c CPC), le tribunal établissant toutefois les faits d'office (maxime inquisitoire, art. 296 al. 1 CPC) et n'étant pas lié par les conclusions des parties (maxime d'office, art. 296 al. 3 CPC), s'agissant d'une question relative à des enfants mineurs.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conclusions respectives des parties en appel, comme la durée indéterminée de la mesure prononcée, la valeur litigieuse pour un recours au Tribunal fédéral semble supérieure à CHF 30'000.- (art. 51 al. 1 let. a et al. 4 LTF).</w:t>
      </w:r>
    </w:p>
    <w:p>
      <w:r>
        <w:rPr>
          <w:b/>
        </w:rPr>
        <w:t>E. 2</w:t>
      </w:r>
    </w:p>
    <w:p>
      <w:r>
        <w:t>a) Aux termes de l'art. 291 CC, lorsque les père et mère négligent de prendre soin de l'enfant, le juge peut prescrire à leurs débiteurs d'opérer tout ou partie de leurs paiements entre les mains du représentant légal de l'enfant. Cette institution est une mesure d'exécution forcée privilégiée sui generis (ATF 137 III 193 consid. 1.1) ;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(arrêt TF 5A_236/2011 du 20 octobre 2011 consid. 5.3 et les références citées). Le juge saisi de la requête d'avis aux débiteurs statue en équité, en tenant compte des circonstances de l'espèce ; il doit en principe respecter le minimum vital du débirentier (arrêt TF 5A_958/2012 du 27 juillet 2013 consid. 2.3.2.2). Une faute du débiteur n'est pas nécessaire (CR CC I – CHAIX, 2010, art. 177 n. 9), mais bien un comportement négligent (CR CC I – BASTONS BULLETTI, art. 291 n. 1 et 5). b) En l'espèce, le premier juge a considéré que la décision du 25 octobre 2012 tranche définitivement, et avec force de chose jugée, la question du prononcé d'un avis aux débiteurs, mais qu'il convient d'adapter cette décision, dès lors que la situation du père s'est notablement modifiée suite à son changement d'employeur – qui a entraîné une baisse de revenus – et à la</w:t>
      </w:r>
    </w:p>
    <w:p>
      <w:r>
        <w:t>Tribunal cantonal TC Page 4 de 5 naissance d'une nouvelle enfant en novembre 2013 (décision attaquée, p. 4 s.). En appel, nul ne conteste ce raisonnement pertinent. Cela étant, le Président a retenu que l'intimé gagne CHF 5'850.- net par mois, ce qui n'est pas critiqué, et que ses charges totalisent CHF 4'487.45, soit les CHF 3'787.45 pris en compte lors du premier avis aux débiteurs, plus CHF 350.- pour l'entretien de sa nouvelle fille, sur laquelle il exerce une garde alternée, et CHF 350.- d'augmentation du minimum vital de base suite à la séparation d'avec son épouse (décision attaquée, p. 5). L'appelante s'en prend aux charges retenues : elle fait valoir que les CHF 3'787.45 calculés en 2012 incluaient un montant mensuel de CHF 1'067.60 à titre de remboursement d'un prêt bancaire, que l'intimé n'a toutefois pas allégué dans la présente procédure (appel, p. 6 s.). Ce dernier ne le conteste pas, mais soutient qu'il faut tenir compte de ses impôts, d'un montant de CHF 300.- à titre de "frais divers" et des frais d'exercice du droit de visite sur ses enfants aînés, qu'il voit 2 jours chaque semaine, de sorte que le paiement intégral des pensions pour ces derniers entamerait son minimum vital (réponse, p. 5). Dans la mesure où il est admis que le remboursement du prêt bancaire n'est plus d'actualité, il convient de déduire des charges prises en compte par le premier juge CHF 1'067.60 par mois, ce qui aboutit à un total de 3'419.85 (CHF 4'487.45 – CHF 1'067.60). Cette somme prend en compte CHF 350.- pour l'entretien de la nouvelle fille de l'intimé, ce que ce dernier ne critique pas et qui, compte tenu de la garde alternée, correspond à un coût similaire à celui pris en compte pour les enfants aînés, conformément au principe d'égalité entre enfants (ATF 137 III 59 consid. 4.2.1). Après déduction de ces charges, le père a un solde mensuel avant impôts de CHF 2'430.15 (CHF 5'850.- – CHF 3'419.85). Certes, celui-ci fait valoir qu'il faut tenir compte de sa charge fiscale et des frais d'exercice du droit de visite, mais ces postes ne peuvent être retenus qu'en cas de situation financière favorable (pour les impôts, cf. ATF 140 III 337 consid. 4.4.1 ; pour les frais du droit de visite, qui sont en principe à la charge du bénéficiaire, cf. arrêt TF 5A_679/2011 du 10 avril 2012 consid. 7.3 et arrêt TC FR 101 2009-94 du 7 juillet 2000 in RFJ 2010 337 consid. 2b/cc), ce qui n'est pas le cas en l'espèce. Dès lors, même en prenant en considération un montant à titre de réserve pour imprévus, l'intimé a les moyens de verser les CHF 2'000.- mensuels qu'il doit actuellement payer pour ses enfants aînés, soit CHF 700.- pour C.________ et D.________ chacun et CHF 600.- pour E.________. Son disponible pourrait même être encore supérieur si, comme son ex-épouse l'affirme dans son courrier du 16 septembre 2015, il fait effectivement ménage commun avec une nouvelle compagne, question qui n'a toutefois pas besoin d'être tranchée en l'état. Il s'ensuit que l'appel est bien fondé et doit être admis. Par conséquent, la décision attaquée sera modifiée en ce sens que l'ordre à l'employeur portera sur un montant mensuel de CHF 2'000.-.</w:t>
      </w:r>
    </w:p>
    <w:p>
      <w:r>
        <w:rPr>
          <w:b/>
        </w:rPr>
        <w:t>E. 3</w:t>
      </w:r>
    </w:p>
    <w:p>
      <w:r>
        <w:t>a) L'intimé succombant en appel, les frais doivent être mis à sa charge (art. 106 al. 1 CPC), sous réserve de l'assistance judiciaire. Ils comprennent notamment les frais de justice dus à l'Etat, fixés à CHF 1'000.-.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w:t>
      </w:r>
    </w:p>
    <w:p>
      <w:r>
        <w:t>Tribunal cantonal TC Page 5 de 5 décision du juge unique est de CHF 3'000.-, montant pouvant être doublé si des circonstances particulières le justifient (art. 64 al. 1 let. e et al. 2 RJ). En l'espèce, compte tenu de tous ces critères, il se justifie de fixer les dépens de l'appelante à la somme de CHF 1'000.-, débours compris, plus la TVA par CHF 80.- (8 % de CHF 1'000.-). la Cour arrête : I. L’appel est admis. Partant, le chiffre II. Du dispositif de la décision rendue le 28 juillet 2015 par le Président du Tribunal civil de la Sarine est réformé, pour prendre la teneur suivante : « II. Ordre est donné à F.________ Sàrl, ou à tout futur employeur ou prestataire d’assurances sociales ou privées versant des sommes en remplacement de revenus, de retenir, à compter du mois courant, sur les prestations de son assuré ou sur le salaire de son employé, B.________, né en 1978, la somme de CHF 2’000.-, à titre de contribution à l’entretien de ses trois enfants C.________, D.________ et E.________. La somme retenue sera versée chaque mois à A.________, née G.________ en 1980, sur le compte bancaire de la prénommée ouvert auprès de la Banque H.________, IBAN n° iii. » II. Les frais d’appel sont mis à la charge de B.________, sous réserve de l’assistance judiciaire qui lui a été octroyée. Ils comprennent notamment les frais de justice dus à l’Etat pour le présent arrêt, fixés à CHF 1’000.-. III. Les dépens d’appel de A.________ sont fixés globalement à la somme de CHF 1’000.-, débours compris, plus la TVA par CHF 80.-.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novembre 2015/lfa Le Président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