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193 vom 5. Januar 2015</w:t>
      </w:r>
    </w:p>
    <w:p>
      <w:r>
        <w:t>FR Kantonsgericht, 2015-01-05, FR</w:t>
      </w:r>
    </w:p>
    <w:p>
      <w:r>
        <w:rPr>
          <w:b/>
        </w:rPr>
        <w:t xml:space="preserve">Quelle: </w:t>
      </w:r>
      <w:r>
        <w:t>https://mcp.opencaselaw.ch/entscheid/fr_gerichte_101_2014_193</w:t>
      </w:r>
    </w:p>
    <w:p>
      <w:r>
        <w:t>FR: FR_GERICHTE 101 2014 193 du 5 janvier 2015</w:t>
      </w:r>
    </w:p>
    <w:p>
      <w:r>
        <w:t>IT: FR_GERICHTE 101 2014 193 del 5 gennaio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sommaire – qui régit notamment les mesures protectrices de l'union conjugale (art. 271 let. a CPC) – est de 10 jours (art. 314 al. 1 CPC). En l'espèce, la décision attaquée a été notifiée au mandataire de l'appelant le 20 août 2014. Déposé le lundi 1er septembre 2014, dernier jour reporté (art. 142 al. 3 CPC) du délai qui est arrivé à échéance le samedi précédent, l'appel a dès lors été interjeté en temps utile. Le mémoire est de plus dûment motivé et doté de conclusions. En outre, vu les contributions d'entretien réclamées en première instance, soit 7'780 francs par mois au total, montant dont l'époux n'admettait que 4'380 francs par mois, la valeur litigieuse en appel est clairement supérieure à 10'000 francs.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w:t>
      </w:r>
    </w:p>
    <w:p>
      <w:r>
        <w:t>Tribunal cantonal TC Page 3 de 7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comme la durée en l'état indéterminée des mesures prononcées, la valeur litigieuse pour un recours au Tribunal fédéral semble supérieure à 30'000 francs (art. 51 al. 1 let. a et al. 4 LTF).</w:t>
      </w:r>
    </w:p>
    <w:p>
      <w:r>
        <w:rPr>
          <w:b/>
        </w:rPr>
        <w:t>E. 2</w:t>
      </w:r>
    </w:p>
    <w:p>
      <w:r>
        <w:t>L'appelant s'en prend aux contributions d'entretien fixées aussi bien en faveur de ses enfants que de son épouse.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TF, arrêt 5A_63/2012 du 20 juin 2012, consid. 6.1 ; CR CC I – CHAIX, art. 176 N 5 et art. 173 N 3).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 en revanche, il ne doit pas trancher, même sous l'angle de la vraisemblance, les questions de fond, objet du procès en divorce, en particulier celle de savoir si le mariage a influencé concrètement la situation financière du conjoint. b) Quant à la contribution en faveur de l'enfant, l'art. 285 al. 1 CC, applicable par renvoi des art. 276 al. 1 CPC et 176 al. 3 CC, prévoit qu'elle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2014 ; elle est identique à celle de 2013], publiées on-line, peuvent servir de point de départ pour la</w:t>
      </w:r>
    </w:p>
    <w:p>
      <w:r>
        <w:t>Tribunal cantonal TC Page 4 de 7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 10'000 francs par mois (TF, arrêts 5A_100/2012 du 30 août 2012, consid. 6, et 5A_507/2007 du 23 avril 2008, consid. 5.1 ; Tribunal cantonal in RFJ 2010 p. 337 consid. 2b/bb et les références). La loi n'impose pas de méthode de calcul de la contribution d'entretien. Le montant de celle-ci est laissé, pour une part importante, à l'appréciation du juge du fait (art. 4 CC). Dans les cas les plus fréquents, le parent gardien assume sa part en nature, alors que le parent non gardien l'assume sous forme financière. En cas d'autorité parentale conjointe et de mise en place d'un régime de garde partagée, la répartition de la charge financière se fera sous forme pécuniaire en fonction des ressources financières de chacun. Il s'agira ainsi, dans un premier temps, de déterminer le disponible de chaque parent après prise en compte de leurs revenus et charges personnels puis, dans un deuxième temps, de répartir le coût d'entretien des enfants selon les proportions de garde. Cette méthode de calcul ne saurait évidemment s'imposer, puisqu'elle peut différer selon la situation spécifique à chaque système de garde alternée (RFJ 2012 p. 339 consid. 2f/bb). c) Enfin, il faut rappeler qu'en matière de fixation de contributions d'entretien, le juge dispose d'un large pouvoir d'appréciation (ATF 138 III 289 consid. 11.1.1 et les références citées ; CR CC I – CHAIX, art. 176 N 5 et art. 173 N 3).</w:t>
      </w:r>
    </w:p>
    <w:p>
      <w:r>
        <w:rPr>
          <w:b/>
        </w:rPr>
        <w:t>E. 3</w:t>
      </w:r>
    </w:p>
    <w:p>
      <w:r>
        <w:t>a) En l'espèce, la première juge a retenu que le mari a un disponible mensuel avant impôts de 9'257 fr. 50, compte tenu d'un salaire de 14'344 francs et de charges à hauteur de 5'086 fr. 50 (décision querellée, p. 5 s.). Cette situation financière n'est pas critiquée en appel. Il n'est pas non plus contesté qu'en l'état, l'épouse subit un déficit mensuel avant impôts de 2'353 fr. 80, vu son revenu de 2'189 fr. 20 et ses charges d'un total de 4'543 francs (décision attaquée, p. 5). Il est précisé que les parts au logement des enfants, qui passent une semaine sur deux chez chacun de leurs parents, n'ont pas été déduites des loyers respectifs de ceux-ci, ce que nul ne critique. Il en sera tenu compte dans la détermination du coût des enfants. Il est relevé que l'intimée n'est pas prétéritée par ce mode de calcul, dans la mesure où la pension en sa faveur, supérieure à son déficit, se trouve augmentée de ce fait. b) La Présidente a calculé le coût des enfants sur la base des tabelles zurichoises, qu'elle a reprises telles quelles, soit 1'870 francs. Elle en a déduit les allocations familiales, par 245 francs par mois et par enfant, et a ajouté 100 francs d'argent de poche et 75 francs pour la prime de caisse-maladie, de sorte qu'elle est parvenue à un montant de 1'800 francs. Elle a mis l'entier de ces frais à la charge du père, vu le déficit de la mère (décision attaquée, p. 6). c) L'appelant lui reproche d'avoir omis de déduire le poste "soins et éducation", qui représente 265 francs par mois, et d'avoir ajouté l'argent de poche et la prime de caisse-maladie, selon lui déjà inclus dans le poste "autres frais" de 810 francs (appel, p. 6).</w:t>
      </w:r>
    </w:p>
    <w:p>
      <w:r>
        <w:t>Tribunal cantonal TC Page 5 de 7 Dès lors que chaque parent assume dans une proportion similaire les soins en nature et vu l'âge des enfants (16 ½ ans et 15 ½ ans), il se justifie effectivement de faire abstraction de la valeur financière de ce poste. De plus, le père a raison lorsqu'il soutient que la prime de caisse-maladie et l'argent de poche n'auraient pas dû être comptés séparément : les tabelles zurichoises incluent l'ensemble des frais relatifs aux enfants et comprennent notamment, sous la rubrique "weitere Kosten", la caisse-maladie (arrêt non publié de la Cour de céans du 17 mars 2014 [dos. 101 2013- 213 et 214], consid. 7a). Enfin, il faut relever d'office que, dans la mesure où les parts au logement chez chacun des parents ont déjà été incluses dans les charges de ceux-ci, ce poste – d'une valeur de 310 francs selon les tabelles – doit être écarté ici. Pour le surplus, c'est à bon droit que la première juge n'a pas opéré la réduction usuelle de 25 % des valeurs résultant des tabelles, vu la situation financière confortable de la famille ; au demeurant, l'appelant ne le critique pas. Vu ce qui précède, le coût de chaque enfant doit être arrêté à 1'050 francs par mois (1'870 francs – 265 francs – 310 francs – 245 francs). d) L'appelant reproche également à la Présidente d'avoir fixé des pensions qu'il doit verser à la mère, celle-ci acquittant les factures relatives aux enfants. Il voudrait régler lui-même l'entier des frais, à l'exception de ceux de nourriture, de logement et de loisirs lorsque les enfants se trouvent chez leur mère, à assumer par cette dernière (appel, p. 5). La décision de la première juge de fixer des pensions "classiques", avec lesquelles la mère est censée s'acquitter des frais fixes relatifs aux enfants, relève de son large pouvoir d'appréciation et l'appelant ne fait pas valoir, par exemple, que l'intimée utiliserait l'argent versé à d'autres fins que pour régler les factures concernant les enfants. Par conséquent, quand bien même c'est le père qui pourvoit entièrement à l'entretien des enfants, il n'y a pas matière à réformer la décision querellée à cet égard. Pour le reste, vu le déficit de B.________, il appartient à A.________ de supporter l'entier des frais d'entretien de ses enfants. Il faut toutefois aussi tenir compte du fait qu'il a leur garde la moitié du temps, de sorte qu'il assume déjà en nature – en sus de leurs parts au logement, déjà prises en compte – des frais de nourriture pouvant être chiffrés à 180 francs par mois et par enfant (355 francs par mois pour chacun selon les tabelles). Les pensions s'élèveraient donc à 870 francs par mois et par enfant (1'050 francs – 180 francs). Néanmoins, le père lui-même propose 1'173 francs, ce qui est dans ses moyens financiers et qui permettra de couvrir un peu plus largement le coût des enfants. Il en découle qu'en sus des frais de nourriture qu'il prend déjà en charge lorsqu'il a ses enfants une semaine sur deux, le père versera à la mère une pension de 1'173 francs par mois et par enfant, plus allocations, avec laquelle l'intimée acquittera l'ensemble des frais fixes de C.________ et D.________. Sur cette question, l'appel est admis dans ses conclusions subsidiaires. Il est précisé que, le tribunal n'étant pas lié par les conclusions des parties (supra, ch. 1b), ces pensions modifiées – qui sont déjà généreuses – s'appliqueront dès le 1er septembre 2013, date retenue par la Présidente, et non 2014 comme demandé par l'appelant. e) S'agissant de la contribution d'entretien en faveur de l'épouse, ce dernier n'en critique pas le montant de 2'800 francs. Il demande toutefois que son versement soit limité au 31 août 2015, époque du 16ème anniversaire de D.________, faisant valoir que l'intimée, qui travaille à 40 %, est déjà intégrée professionnellement et que, compte tenu encore du temps libre dont elle dispose en</w:t>
      </w:r>
    </w:p>
    <w:p>
      <w:r>
        <w:t>Tribunal cantonal TC Page 6 de 7 raison de la garde alternée, elle aura alors la faculté d'augmenter son taux d'activité pour assumer son propre entretien (appel, p. 7 s.). Selon la jurisprudence (ATF 137 III 102 consid. 4.2.2.2), en cas de garde attribuée à un seul parent, la reprise d'une activité lucrative à 50 % ne peut en principe être exigée de ce parent que lorsque le plus jeune enfant a atteint l'âge de 10 ans, et un emploi à plein temps lorsque cet enfant a 16 ans révolus. De plus, il est généralement présumé déraisonnable d'exiger la reprise ou l'extension d'une activité lucrative au-delà de l'âge de 45, voire 50 ans (c'est l'âge lors de la séparation qui est déterminant : TF, arrêt 5C.320/2006 du 1er février 2007, consid. 5.6.2.2), mais la présomption peut être renversée, car ce n'est pas l'âge qui la fonde, mais bien plutôt le fait d'avoir ou non exercé une activité lucrative pendant le mariage (TF, arrêt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En l'espèce, l'intimée est actuellement âgée de 46 ans et elle en avait 44 lors de la séparation, fin 2012. En outre, elle n'a plus à vouer des soins en nature à ses enfants que la moitié du temps. Ces éléments plaideraient pour une extension de son activité lucrative, quand bien même le système de garde alternée à raison d'une semaine sur deux rend plus difficile la prise d'un emploi à 80 ou 100 %. Cependant, elle a déclaré en première instance, sans être contredite, qu'elle ne dispose que d'une maturité et qu'elle n'a pas travaillé de la naissance sa fille, en 1998, jusqu'en janvier 2010, où elle a repris un travail à 40 % ; elle a précisé que son employeur actuel ne peut pas lui proposer le taux de 50 % qu'elle souhaiterait et qu'elle envisage de remplacer sa cheffe, à 70 ou 80 %, lorsque celle-ci partira en 2016 (DO/13, p. 3). Il en découle que la possibilité effective de réaliser un salaire plus élevé semble, en l'état, peu vraisemblable, un changement d'employeur paraissant difficile pour l'épouse. Partant, c'est à juste titre que la Présidente en a fait abstraction (ATF 137 III 118 consid. 2.3). Il appartiendra au tribunal saisi, le cas échéant, d'une procédure de divorce ultérieure, voire d'une demande de modification des mesures protectrices, de réexaminer cette question. L'appel est rejeté sur cette question.</w:t>
      </w:r>
    </w:p>
    <w:p>
      <w:r>
        <w:rPr>
          <w:b/>
        </w:rPr>
        <w:t>E. 4</w:t>
      </w:r>
    </w:p>
    <w:p>
      <w:r>
        <w:t>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(TF, arrêt 5A_70/2013 du 11 juin 2013, consid. 6). En l'espèce, l'appelant a gain de cause s'agissant des pensions en faveur des enfants, tandis qu'il succombe sur la limitation souhaitée de la contribution destinée à son épouse. Il se justifie dès lors que chaque époux supporte ses propres dépens d'appel et la moitié des frais de justice, fixés à 1'200 francs. Indépendamment de cette attribution, les frais judiciaires seront acquittés envers l'Etat par prélèvement sur l'avance versée par A.________ (art. 111 al. 1 CPC), qui pourra obtenir remboursement de la somme de 600 francs de la part de son épouse.</w:t>
      </w:r>
    </w:p>
    <w:p>
      <w:r>
        <w:t>Tribunal cantonal TC Page 7 de 7 la Cour arrête : I. L'appel est partiellement admis. Partant, le chiffre 4 du dispositif de la décision rendue le 7 août 2014 par la Présidente du Tribunal civil du Lac est réformé, pour prendre la teneur suivante : "5. En sus des frais qu'il prend déjà en charge lorsqu'il a ses enfants une semaine sur deux, A.________ contribuera à l'entretien de chacun de ses enfants par le versement, en mains de B.________, d'une pension mensuelle de 1'173 francs, plus les allocations familiales, à charge pour la mère de régler les frais fixes relatifs aux enfants. Ces pensions sont payables d'avance le premier de chaque mois, dès le 1er septembre 2013." Pour le surplus, le chiffre 5 de ce dispositif est confirmé. II. Chaque partie supporte ses propres dépens d'appel et la moitié des frais de justice dus à l'Etat, fixés à 1'200 francs. Indépendamment de cette attribution, les frais judiciaires seront acquittés envers l'Etat par prélèvement sur l'avance versée par A.________, qui pourra obtenir remboursement de la somme de 600 francs de la part de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janvier 2015/lfa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