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2013 306 vom 2. Juni 2014</w:t>
      </w:r>
    </w:p>
    <w:p>
      <w:r>
        <w:t>FR Kantonsgericht, 2014-06-02, FR</w:t>
      </w:r>
    </w:p>
    <w:p>
      <w:r>
        <w:rPr>
          <w:b/>
        </w:rPr>
        <w:t xml:space="preserve">Quelle: </w:t>
      </w:r>
      <w:r>
        <w:t>https://mcp.opencaselaw.ch/entscheid/fr_gerichte_101_2013_306</w:t>
      </w:r>
    </w:p>
    <w:p>
      <w:r>
        <w:t>FR: FR_GERICHTE 101 2013 306 du 2 juin 2014</w:t>
      </w:r>
    </w:p>
    <w:p>
      <w:r>
        <w:t>IT: FR_GERICHTE 101 2013 306 del 2 giugno 2014</w:t>
      </w:r>
    </w:p>
    <w:p>
      <w:pPr>
        <w:pStyle w:val="Heading2"/>
      </w:pPr>
      <w:r>
        <w:t>Regeste</w:t>
      </w:r>
    </w:p>
    <w:p>
      <w:r>
        <w:t>Arrêt de la Ie Cour d'appel civil du Tribunal cantonal | Kauf und Tausch</w:t>
      </w:r>
    </w:p>
    <w:p>
      <w:pPr>
        <w:pStyle w:val="Heading2"/>
      </w:pPr>
      <w:r>
        <w:t>Erwägungen</w:t>
      </w:r>
    </w:p>
    <w:p>
      <w:r>
        <w:rPr>
          <w:b/>
        </w:rPr>
        <w:t>E. 3</w:t>
      </w:r>
    </w:p>
    <w:p>
      <w:r>
        <w:t>Selon le demandeur, le tribunal aurait aussi passé sous silence l'admission par la défenderesse de l'existence du principal défaut affectant le logiciel du véhicule. Ce défaut avait initialement pour effet que le moteur calait sans motif. Une première mise à jour du logiciel aurait permis de résoudre le problème mais en aurait créé un nouveau au niveau de l’embrayage en ce sens que, en mode "D" (drive), lorsque la voiture roule à bas régime, par exemple à l’entrée d’un rond-point, la pédale des gaz ne réagirait pas pendant 1 à 3 secondes, rendant la conduite du véhicule très dangereuse. Malgré deux nouvelles mises à jour du logiciel, le problème n'aurait pas été résolu. Le demandeur se réfère en outre aux assurances données par la défenderesse dans sa brochure publicitaire de la BMW M3, selon lesquelles, en particulier, le nouvel embrayage "M double-transmission avec Drivelogic" change de rapports sans la moindre interruption dans l'afflux de puissance; ainsi, "en conduisant, l'un des deux embrayages est toujours engagé, l'autre est ouvert. En accélérant - et en rétrogradant - les embrayages sont activés en alternance, l'un après l'autre. Lors de changement de vitesse, ainsi, le premier embrayage s'ouvre lorsque le second se ferme. Cela garantit des changements de vitesse qui sont absolument fluides, confortables et sans comparaison, sans la moindre interruption dans l'afflux de puissance". Pour le demandeur, il s'agit là d'éléments qui ont été décisifs pour lui lors de l'achat du véhicule. Le tribunal n'en aurait retenu aucun sans la moindre explication (appel, p. 4 à 6, ch. I.2). Les différentes mises à jour du logiciel ont été effectuées par la défenderesse dans le cadre de l'exécution du contrat de vente (art. 5.2), à la suite de l'exercice par le demandeur de son droit à la garantie. Les parties divergent sur le résultat des travaux de révision: le défaut subsiste pour le demandeur alors qu'il a été supprimé pour la défenderesse. Le tribunal n'a pas constaté les faits</w:t>
      </w:r>
    </w:p>
    <w:p>
      <w:r>
        <w:t>Tribunal cantonal TC Page 4 de 9 de manière inexacte. S'agissant des assurances de qualités du véhicule qui auraient été données par la défenderesse par le biais de sa brochure publicitaire, le tribunal ne les a pas passées sous silence. Il les a évoquées au considérant 9 de son jugement, sans constater leur absence: "Les problèmes rencontrés par le demandeur dans la conduite de son véhicule proviennent de sa manière de conduire et de son inexpérience avec la boîte séquentielle M DKG Drivelogic, et non d’un défaut du véhicule. Partant, l’argument de l’absence de qualités promises n’est d’aucun secours dans le cas d’espèce". L'appel est aussi infondé sur ce point.</w:t>
      </w:r>
    </w:p>
    <w:p>
      <w:r>
        <w:rPr>
          <w:b/>
        </w:rPr>
        <w:t>E. 4</w:t>
      </w:r>
    </w:p>
    <w:p>
      <w:r>
        <w:t>Le demandeur reproche au tribunal de passer sous silence que le rapport de l'expert privé H.________ prouve que le défaut n'a pas été éliminé et qu'il existe. Le demandeur cite à cet égard les constatations suivantes de l'expert: "A l'approche du rond-point, le soussigné doit freiner légèrement pour entrer dans le rond-point à faible vitesse, environ 10 km/h. Lorsque le conducteur remet légèrement les gaz, il y a un temps d'attente avant que le véhicule accélère. Le soi-disant problème a pu être constaté à nouveau dans le rond-point de I.________ lors du retour vers le garage B.________ SA à C.________" (appel, p. 6, ch. 3). Ce faisant, le demandeur isole une constatation du rapport, sans tenir compte des conclusions ultérieures de l'expert, selon lesquelles "d'après la construction de la boîte de vitesse "M DKG Drivelogic", ce temps de réaction, à très basse vitesse, est totalement normal. Pour ma part, cette boîte de vitesses ne présente pas de défaut et est conforme aux spécifications du constructeur" (conclusion n° 1, rapport de l'expert du 23.9.2009, p. 4). Sur ce point, le tribunal n'a pas non plus constaté les faits de manière inexacte.</w:t>
      </w:r>
    </w:p>
    <w:p>
      <w:r>
        <w:rPr>
          <w:b/>
        </w:rPr>
        <w:t>E. 5</w:t>
      </w:r>
    </w:p>
    <w:p>
      <w:r>
        <w:t>Pour le demandeur, le tribunal aurait omis de tenir compte de la déclaration du témoin G.________, selon lequel: "J'ai effectivement constaté qu'il y avait un temps de réaction à très basse vitesse", et aurait préféré retenir, sans analyse critique, l'affirmation de ce témoin pour qui "cela était tout à fait normal" (appel, p. 7, ch. 4). Sur ce point, le jugement ne prête pas le flanc à la critique. Le tribunal a en effet retenu ce qui suit: "Le témoin a, s’agissant du retard au niveau de l’embrayage, déclaré qu’il avait effectivement constaté qu’il y avait un temps de réaction à très basse vitesse, mais que cela était tout à fait normal. Il a en outre déclaré avoir roulé 40'000 kilomètres depuis l’achat du véhicule litigieux et n’avoir constaté aucun problème, notamment en lien avec l’embrayage. Selon lui, ce temps de réaction est une particularité des boîtes séquentielles. Concernant la conduite de ce type de voiture, le témoin a en outre relevé que le choix du réglage nécessite un temps d’adaptation. Il a notamment déclaré: "Il va falloir qu’un conducteur néophyte d’une telle boîte séquentielle essaye les différentes positions pour arrêter celle qui lui convient le mieux. Je tiens à relever que moi-même, j’utilise des positions différentes selon mes envies et selon les personnes qui m’accompagnent. (…) Je pense qu’il faut plusieurs dizaines de milliers de kilomètres pour conduire ce véhicule avec toute sa puissance, soit 420 chevaux. (…) Ce véhicule est presque une voiture de course". Il est relevé que le témoin est ingénieur en mécanique générale et passionné de voiture de marques BMW, le véhicule litigieux étant la 7e BMW qu’il a acquise. Au vu de son métier et de sa passion, ses déclarations ont une force probante particulièrement élevée" (jugement, consid. 7.3). Le tribunal a ainsi exposé les motifs pour lesquels les déclarations du témoin ne permettaient pas, selon lui, de conclure à l'existence d'un défaut. L'appel doit être rejeté sur ce point.</w:t>
      </w:r>
    </w:p>
    <w:p>
      <w:r>
        <w:rPr>
          <w:b/>
        </w:rPr>
        <w:t>E. 6</w:t>
      </w:r>
    </w:p>
    <w:p>
      <w:r>
        <w:t>Le vendeur est tenu de garantir l'acheteur tant en raison des qualités promises qu'en raison des défauts qui, matériellement ou juridiquement, enlèvent à la chose soit sa valeur, soit son utilité prévue, ou qui les diminuent dans une notable mesure (art. 197 al. 1 CO). Il peut être renvoyé au jugement pour la notion du défaut (jugement consid. 4).</w:t>
      </w:r>
    </w:p>
    <w:p>
      <w:r>
        <w:t>Tribunal cantonal TC Page 5 de 9 a) Le demandeur reproche au tribunal de ne pas avoir retenu le caractère probant de l'expertise judiciaire. Selon lui, la décision d'écarter l'expertise est d'autant plus insoutenable que nul n'est besoin d'être expert pour comprendre que le véhicule souffrait d'un défaut. Même sans connaissance spéciale, il ne pouvait pas échapper au tribunal que le véhicule livré ne remplissait pas toutes les qualités promises. En effet, la défenderesse aurait donné des assurances au demandeur s'agissant des performances du nouveau double embrayage. Dans un catalogue de 20 pages intitulé "BMW Media Information", le fabricant BMW compare sa nouvelle boîte de vitesses M DKG Drivelogic à l'ancienne boîte SMG, à savoir la boîte à vitesses M séquentielle. Selon le fabricant, la transmission à double embrayage et sept rapports offre un avantage par rapport au SMG à sept rapports déjà doté de changements de vitesses extrêmement rapides, grâce aux changements de vitesses qui se déroulent dorénavant sans la moindre interruption de puissance et de couple. Dans la pratique, cela signifie une accélération encore plus rapide et dynamique clairement mesurable en secondes et en mètres. Selon le constructeur BMW, avec cette nouvelle boîte à vitesses M DKG Drivelogic avant-gardiste, la marque passe de changements de vitesses extrêmement rapides à des changements de vitesse sans la moindre interruption de puissance et de couple. Cela est rendu possible d'après le catalogue du constructeur puisque, lors de la conduite, l'un des deux embrayages est toujours engagé, l'autre est ouvert. Lors de l'accélération – et en rétrogradant - les embrayages sont activés en alternance, l'un après l'autre. Lors de changements de vitesses, le premier embrayage s'ouvre lorsque le second se ferme. Cela garantit des changements de vitesse qui sont absolument fluides, confortables et sans comparaison, sans la moindre interruption dans l'afflux de puissance. Au mois de janvier 2009, la défenderesse elle-même a admis la défectuosité de l'embrayage. Les autres protagonistes s'accordent sur le fait que, même depuis la 3ème dernière (re-)programmation, il subsiste un temps de réaction à très basse vitesse. Cela a été constaté tant par l'expert privé H.________ alors qu'il roulait avec la voiture dans un rond-point que par l'expert judiciaire et admis par le témoin G.________ lors de son audition. Dans ces conditions, le reproche fait par le tribunal au demandeur sur sa manière de conduire et son inexpérience avec la boîte de vitesse M DKG Drivelogic dont est doté le véhicule acquis, est infondé. Si toutes les personnes concernées ont constaté qu'il y avait un temps de réaction entre 1-3 secondes à très basse vitesse, cela prouve que la façon de conduire le véhicule n'a aucune influence (appel, p. 12 s., ch. 7). b) Selon le catalogue de vente de la BMW M3 de janvier 2008, intitulé "Arguments", "la technologie du double embrayage permet de passer tous les rapports sans aucune rupture de charge. La puissance débitée par le moteur peut ainsi être entièrement exploitée et transmise à la route sans aucune perte. Le conducteur de la BMW M3 passe les rapports comme en Formule 1. La boîte de vitesses ne procure cependant pas seulement un gain de dynamisme, mais en mode automatisé (Drivelogic 1), elle accroît de plus le confort en passant les rapports tout en douceur, de manière quasi imperceptible" (p.12); "[le conducteur] n'a pas besoin de lever le pied de l'accélérateur" (p. 5 et 7; cf. aussi BMW Media Information, bordereau demandeur du 4.11.2009, pce 9, p. 3 i.f.); "les rapports passent sans à-coups sensibles et, donc, dans un confort parfait" (cf. brochure "La nouvelle BMW M3 […] et ses concurrentes, annexée au catalogue de vente de janvier 2008, p. 5). Selon le tirage du site internet de BMW fait le 23 janvier 2009, "Changer de rapport rapidement, c'est bien, changer de rapport instantanément, c'est mieux. La boîte à double embrayage M avec Drivelogic vous permet d'aller de l'avant sans subir d'interruption de la poussée générée par le moteur de la BMW M3 […]. Les deux boîtes qui la composent et qui fonctionnent en alternance, ainsi que leur embrayage respectif transmettent en continu la force motrice aux roues arrière. Ainsi, presqu'aucune rupture de charge notable n'accompagne les changements de rapport qui s'effectuent via les palettes au volant ou le sélecteur de vitesses. Une fois le mode automatique activé, vous pourrez faire l'expérience d'un dynamisme souverain: 5,1 secondes</w:t>
      </w:r>
    </w:p>
    <w:p>
      <w:r>
        <w:t>Tribunal cantonal TC Page 6 de 9 seulement suffiront pour passer de 0 à 100 km/h – deux dixièmes de moins qu'en mode manuel" (bordereau demandeur du 4.11.2009, pce 8). Le catalogue de vente de janvier 2008 servait d'argumentaire aux vendeurs de la marque (déclarations du directeur de la défenderesse, p.-v. du 24.4.2013, p. 7). Avant son achat, le demandeur a consulté d'autres catalogues BMW, dont le catalogue BMW Media Information, indiquant le fonctionnement de l'embrayage, ainsi que les pages internet concernant le véhicule qu'il allait acquérir. Lors de la vente, il a discuté de ce dernier catalogue avec le vendeur (même p.-v., p. 5). De son côté, l'expert judiciaire retient que "selon les indications du constructeur de la boîte de vitesses, aucun temps mort ne se produit entre les rapports" (rapport d'expertise, p. 7, ad 10) et que l'embrayage est l’argument phare mis en évidence par le constructeur et les conseillers de vente de la marque (p. 9, ad 16). Il y a dès lors raisonnablement lieu d'admettre que la défenderesse a promis au demandeur un véhicule muni d'un système de changement de vitesses fluide, instantané, pratiquement sans perte de puissance et de couple. L'expert judiciaire a constaté lors d'un essai routier que, lorsque le sélecteur de vitesses était en position D (drive) à une allure inférieure à 30 km/h, il se produisait occasionnellement un temps mort dans la réaction de transmission, en phase d'accélération. Le retard variait entre une et deux secondes (rapport d'expertise, p. 4 s.). De ce fait, le véhicule ne correspond pas pleinement aux promesses faites dans le catalogue de vente précité (p. 9, ad 15). Pour l'expert judiciaire, l'un ou l'autre des paramètres visant à assurer une efficacité continue et pérenne au fonctionnement de la boîte de vitesse n'était sans doute pas activé, ce qui a provoqué le retard dans le temps de réaction (p. 8, ad 12). L'expert privé H.________ a pour sa part constaté qu'à faible vitesse – environ 10 km/h -, "lorsque le conducteur remet légèrement les gaz, il y a un temps d'attente avant que le véhicule accélère" (rapport d'expertise, p. 4). Ces constatations sont corroborées par les déclarations du témoin G.________ (p.-v. du 24.4.2013, p. 3). Toutes les personnes ayant conduit le véhicule ont aussi constaté l'existence d'un temps de réaction de l'embrayage à faible vitesse, de sorte que celui-ci n'est pas lié à la manière de conduire du demandeur; l'est seule la réaction du véhicule lorsque le demandeur accélère à fond dans cette situation. Bien que l'expert privé et le témoin qualifient le temps de réaction de normal, il faut admettre qu'il ne correspond pas à la promesse du vendeur d'un changement de vitesses continu, confortable et instantané et constitue en conséquence un défaut.</w:t>
      </w:r>
    </w:p>
    <w:p>
      <w:r>
        <w:rPr>
          <w:b/>
        </w:rPr>
        <w:t>E. 7</w:t>
      </w:r>
    </w:p>
    <w:p>
      <w:r>
        <w:t>Le demandeur a exercé initialement l'action minutoire, concluant à la condamnation de la défenderesse au paiement d'un montant de 50'000 fr. à dires d'expert (cf. demande, p. 8, ch. 43 et p. 11). Toutes les redevances du leasing ayant entre temps été payées et le véhicule restitué à la défenderesse, le demandeur a ensuite réclamé à titre principal la restitution des redevances payées, sous déduction d'une indemnité pour l'utilisation du véhicule, qu'il chiffre à 0,3 % du prix de vente net (131'790 fr.) par 1000 km (mémoires complémentaires des 15.4.2011, doss. I/69, et 24.4.2013, p. 2, doss. II), soit 69'606 fr. 65. a) Dans les cas de garantie en raison des défauts de la chose, l'acheteur a le choix ou de faire résilier la vente en exerçant l'action rédhibitoire, ou de réclamer par l'action en réduction de prix une indemnité pour la moins-value (art. 205 al. 1 CO). Selon l'art. 208 CO, en cas de résiliation de la vente, l'acheteur est tenu de rendre au vendeur la chose avec les profits qu'il en a retirés (al. 1). Le vendeur doit restituer à l'acheteur le prix payé, avec intérêts (al. 2). L'équité veut que l'on accorde au vendeur un intérêt calculé sur les profits retirés de la chose, du moment que le décompte consécutif à la résiliation n'intervient qu'après que l'acheteur a usé de la chose et en a retiré des profits (ATF 106 II 221 / JdT 1981 59). En cas de vente d'une voiture, la jurisprudence retient en principe une indemnité kilométrique (TF, arrêt du 9.10.1979 dans la cause T. c/ C. in SJ</w:t>
      </w:r>
    </w:p>
    <w:p>
      <w:r>
        <w:t>Tribunal cantonal TC Page 7 de 9 1980 p. 289 consid. 2b p. 293; TC NE, arrêt du 5.2.1990 en la cause J. c/ M. in RJN 1990 p. 44 consid. 6b p. 48). b) En l'occurrence, le contrat de vente prévoit la possibilité pour l'acheteur, en cas de défaut important qui, malgré de réitérées réparations, n'a pas pu être supprimé, de demander la réduction du prix ou de résoudre le contrat. En cas de résolution du contrat, une indemnité est due pour les kilomètres effectués et le prix de vente, s'il a déjà été versé, porte intérêt à 5 % l'an (conditions générales, clause 4, bordereau demandeur du 4.11.2009, pce 3). Il y a lieu d'admettre, compte tenu de la reprise du véhicule par la défenderesse à l'issue du contrat de leasing, que les parties ont résolu conventionnellement le contrat de vente. Le demandeur a parcouru 51'500 km avec le véhicule litigieux (mémoire du 24.4.2013, all. 56; détermination de la défenderesse à la séance du même jour, p.-v. p. 2, ad 56). L'indemnité kilométrique se situant selon lui entre 0,3 et 0,7 % du prix de vente (131'790 fr.) par 1000 km, il la fixe à 0,3 % compte tenu du fait que le véhicule n'a jamais fonctionné correctement (mémoire du 15.11.2011, all. 50 s.; mémoire du 24.4.2013, all. 57). Cela correspond à une indemnité de 40 ct par kilomètre (131'790 x 0,3 % = 395 fr. 37 pour 1000 km, soit 39,53 ct par kilomètre). L'indemnité maximale due selon la valeur la plus haute indiquée par le demandeur serait de 92 ct par kilomètre (131'790 x 0,7 % = 922 fr. 53 pour 1000 km, soit 92,25 ct le kilomètre). Le Tribunal fédéral a jugé équitable en 1979 une indemnité de 30 ct au kilomètre dans le cas d'une voiture Fiat 128 Rally de 1972, acquise d'occasion en 1974 et affectée d'un défaut juridique parce que non homologable (arrêt précité in SJ 1980 p. 289); adaptée au renchérissement, cette indemnité serait actuellement de 57 ct (IPC [base septembre 1977 = 100] de 104.4 en 1979, 199.2 en avril 2014, soit une augmentation de 90,8 %; 30 x 190,8 % = 57 ct). Pour sa part, le Tribunal cantonal neuchâtelois a considéré comme équitable en 1990 une indemnité de 20 ct pour un véhicule Ford Granada de 1979, acquise d'occasion en 1987, dont le kilométrage avait été falsifié et la carburation était irrégulière; compte tenu du renchérissement, cette indemnité serait actuellement de 26 ct (IPC [base septembre 1982 = 100] de 121.6 en 1990, 159.7 en avril 2014, soit une augmentation de 31,3 %; 20 x 131,3 % = 26 ct). Dans ces deux cas, il s'agissait de véhicules d'occasion, le premier vieux de deux ans, le second de huit ans lors de la vente litigieuse. En l'occurrence, le véhicule vendu, de catégorie supérieure, était neuf. Tout bien considéré, une indemnité de 60 ct au kilomètre semble équitable. L'indemnité due par le demandeur pour l'utilisation du véhicule s'élève en conséquence à 30'900 fr. (51'500 x 0,6). La défenderesse ne conteste pas que le demandeur a payé les redevances du leasing pour un montant de 89'968 fr. 20 (mémoire du demandeur du 24.4.2013, all. 55, doss. II et détermination de la défenderesse à la séance du même jour, p.-v. p. 2, ad 55). Conformément à l'art. 208 al. 2 CO et la jurisprudence y relative, les deux montants portent intérêt. Le demandeur réclame l'intérêt dès le 3 avril 2009, soit le jour de l'essai routier effectué en présence de l'expert privé après que la défenderesse a procédé aux derniers réglages du logiciel de la boîte de vitesses. Il a toutefois réclamé la restitution des redevances versées pour la première fois le 15 avril 2011, en déposant son mémoire complémentaire. Le point de départ des intérêts sera fixé à cette dernière date, aussi en ce qui concerne l'indemnité pour l'usage du véhicule. L'appel sera en conséquence partiellement admis en ce sens que la défenderesse sera condamnée à verser au demandeur 89'968 fr. 20 avec intérêt à 5 % l'an dès le 15 avril 2011 sous déduction de 30'900 fr. avec intérêt à 5 % l'an dès la même date, soit 59'068 fr. 20 avec intérêt à 5 % l'an dès le 15 avril 2011.</w:t>
      </w:r>
    </w:p>
    <w:p>
      <w:r>
        <w:rPr>
          <w:b/>
        </w:rPr>
        <w:t>E. 8</w:t>
      </w:r>
    </w:p>
    <w:p>
      <w:r>
        <w:t>% depuis le 1er janvier 2011 (art. 25 al. 1 LTVA). bb) Toutes les opérations de la liste de frais n° 1 du mandataire du demandeur antérieures à la préparation, le 16 juin 2009, de la requête de conciliation du lendemain ne sont pas couvertes par les dépens. Le mandataire du demandeur indique 6,5 heures en relation avec la détermination spontanée du 20 avril 2010 faisant suite au dépôt par la défenderesse de son questionnaire à l'expert. La Cour estime ce temps excessif et retient 4,5 heures à ce titre. 15,5 heures sont comptées en relation avec le mémoire d'appel, entre le 18 et le 21 novembre 2011. La Cour réduit ce temps à</w:t>
      </w:r>
    </w:p>
    <w:p>
      <w:r>
        <w:rPr>
          <w:b/>
        </w:rPr>
        <w:t>E. 12</w:t>
      </w:r>
    </w:p>
    <w:p>
      <w:r>
        <w:t>heures. La valeur litigieuse initiale était de 50'000 fr., d'où une majoration des honoraires de 17,88 %. Le demandeur a porté ses conclusions à 69'606 fr. le 24 avril 2013. Dès cette date, les honoraires seront majorés de 24,72 % (art. 66 al. 2 let. b et annexe 2 RJ).</w:t>
      </w:r>
    </w:p>
    <w:p>
      <w:r>
        <w:t>Tribunal cantonal TC Page 9 de 9 la Cour arrête: I. L'appel est partiellement admis. Partant, le jugement attaqué est modifié dans la teneur suivante: " 1. L’action en paiement déposée le 4 novembre 2009 par A.________ à l’encontre de F.________ SA (à l'époque B.________ SA) est partiellement admise. Partant, B.________ SA est condamnée à payer à A.________ un montant de 59'068 fr. 20 avec intérêt à 5 % l'an dès le 15 avril 2011. 2. Les frais sont mis à la charge de B.________ SA. Les frais judiciaires, fixés à 9210 fr. (émolument de justice: 4000 fr.; frais d’expertise: 5000 fr.; frais d’interprète: 210 fr.), seront prélevés sur les avances de frais versées par A.________ (2000 fr.) et B.________ SA (4000 fr.), A.________ ayant droit au remboursement de 2000 fr. de la part d'B.________ SA. Le solde des frais sera acquitté par B.________ SA." II. Les frais d'appel sont mis à la charge de B.________ SA. Les frais judiciaires, fixés à 5000 fr., seront prélevés sur l'avance de frais versée par A.________ qui a droit à leur remboursement par B.________ SA. Les dépens de A.________ sont fixés, sur la base des listes de frais de son mandataire, Me Trevor J. Purdie, au montant de 21'345 fr. 70 (honoraires: 15'812 fr. 50; majoration: 3151 fr. 05; correspondance: 500 fr.; débours: 326 fr. 60; TVA: 1555 fr. 55) pour les deux instances.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juin 2014/han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