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20240910_d_ch_o_01 vom 10. September 2024</w:t>
      </w:r>
    </w:p>
    <w:p>
      <w:r>
        <w:t>FINMA Versicherungsrecht, 2024-09-10, DE</w:t>
      </w:r>
    </w:p>
    <w:p>
      <w:r>
        <w:rPr>
          <w:b/>
        </w:rPr>
        <w:t xml:space="preserve">Quelle: </w:t>
      </w:r>
      <w:r>
        <w:t>https://mcp.opencaselaw.ch/entscheid/finma_versicherungsrecht_20240910_d_ch_o_01</w:t>
      </w:r>
    </w:p>
    <w:p>
      <w:r>
        <w:t>FR: FINMA_VERSICHERUNGSRECHT 20240910_d_ch_o_01 du 10 septembre 2024</w:t>
      </w:r>
    </w:p>
    <w:p>
      <w:r>
        <w:t>IT: FINMA_VERSICHERUNGSRECHT 20240910_d_ch_o_01 del 10 settembre 2024</w:t>
      </w:r>
    </w:p>
    <w:p>
      <w:pPr>
        <w:pStyle w:val="Heading2"/>
      </w:pPr>
      <w:r>
        <w:t>Erwägungen</w:t>
      </w:r>
    </w:p>
    <w:p>
      <w:r>
        <w:rPr>
          <w:b/>
        </w:rPr>
        <w:t>E. 1</w:t>
      </w:r>
    </w:p>
    <w:p>
      <w:r>
        <w:t>Die Beschwerde richtet sich gegen einen Entscheid einer oberen kan- tonalen Gerichtsinstanz, die in einer Zivilsache (Art. 72 Abs. 1 BGG) als einzige kantonale Instanz im Sinne von Art. 6 ZPO in Verbindung mit Art. 75 Abs. 2 lit. b BGG entschieden hat. Die Beschwerde ist in diesem Fall streitwertunabhängig zulässig (Art. 74 Abs. 2 lit. b BGG). Die Beschwerdefrist ist gewahrt (Art. 100 Abs. 1 i.V.m. Art. 46 Abs. 1 lit. c BGG). Seite 4</w:t>
      </w:r>
    </w:p>
    <w:p>
      <w:r>
        <w:t>Die Vorinstanz wies die Klage im Umfang von Fr. 590'378.-- ab (Dis- positiv-Ziffer 1) und ordnete für den Differenzbetrag von Fr. 94'552.-- (hier geht es um die Behauptung der Beschwerdeführerin, aus dem ersten Schadenereignis seien noch Fr. 94'552.-- offen) die Weiter- führung des Verfahrens an (Dispositiv-Ziffer 2). Die Beschwerdeführe- rin wendet sich nur gegen die teilweise Abweisung der Klage. Insofern liegt ein beschwerdefähiger Teilentscheid vor (Art. 91 lit. a BGG). Die Beschwerde in Zivilsachen steht grundsätzlich offen.</w:t>
      </w:r>
    </w:p>
    <w:p>
      <w:r>
        <w:rPr>
          <w:b/>
        </w:rPr>
        <w:t>E. 2.1</w:t>
      </w:r>
    </w:p>
    <w:p>
      <w:r>
        <w:t>Das Bundesgericht wendet das Recht von Amtes wegen an (Art. 106 Abs. 1 BGG). Es prüft aber unter Berücksichtigung der allge- meinen Begründungsanforderungen (Art. 42 Abs. 1 und 2 BGG) grund- sätzlich nur die geltend gemachten Rügen, sofern die rechtlichen Män- gel nicht geradezu offensichtlich sind. Es ist nicht gehalten, wie eine erstinstanzliche Behörde alle sich stellenden rechtlichen Fragen zu un- tersuchen, wenn diese vor Bundesgericht nicht mehr vorgetragen wer- den (BGE 140 III 86 E. 2; 115 E. 2). Unerlässlich ist im Hinblick auf Art. 42 Abs. 2 und Art. 106 Abs. 2 BGG, dass die Beschwerde auf die Begründung des angefochtenen Entscheids eingeht und im Einzelnen aufzeigt, worin eine Rechtsver- letzung liegt. Die beschwerdeführende Partei soll in der Beschwerde- schrift nicht bloss die Rechtsstandpunkte, die sie im vorinstanzlichen Verfahren eingenommen hat, erneut bekräftigen, sondern mit ihrer Kri- tik an den als rechtsfehlerhaft erachteten Erwägungen der Vorinstanz ansetzen (BGE 140 III 86 E. 2, 115 E. 2).</w:t>
      </w:r>
    </w:p>
    <w:p>
      <w:r>
        <w:rPr>
          <w:b/>
        </w:rPr>
        <w:t>E. 2.2</w:t>
      </w:r>
    </w:p>
    <w:p>
      <w:r>
        <w:t>Das Bundesgericht legt seinem Urteil den Sachverhalt zugrunde, den die Vorinstanz festgestellt hat (Art. 105 Abs. 1 BGG). Dazu gehören die Feststellungen über den streitgegenständlichen Lebens- sachverhalt als auch jene über den Ablauf des vorinstanzlichen Ver- fahrens, also die Feststellungen über den Prozesssachverhalt (BGE 140 III 16 E. 1.3.1 mit Hinweisen). Es kann die Sachverhaltsfest- stellung der Vorinstanz nur berichtigen oder ergänzen, wenn sie offen- sichtlich unrichtig ist oder auf einer Rechtsverletzung im Sinne von Art. 95 BGG beruht (Art. 105 Abs. 2 BGG). "Offensichtlich unrichtig" bedeutet dabei "willkürlich" (BGE 140 III 115 E. 2; 264 E. 2.3). Überdies muss die Behebung des Mangels für den Ausgang des Ver- fahrens entscheidend sein können (Art. 97 Abs. 1 BGG). Seite 5</w:t>
      </w:r>
    </w:p>
    <w:p>
      <w:r>
        <w:t>Für eine Kritik am festgestellten Sachverhalt gilt das strenge Rüge- prinzip von Art. 106 Abs. 2 BGG (BGE 140 III 264 E. 2.3). Die Partei, welche die Sachverhaltsfeststellung der Vorinstanz anfechten will, muss klar und substanziiert aufzeigen, inwiefern die genannten Vor- aussetzungen erfüllt sein sollen (BGE 140 III 16 E. 1.3.1 mit Hinwei- sen). Wenn sie den Sachverhalt ergänzen will, hat sie zudem mit prä- zisen Aktenhinweisen darzulegen, dass sie entsprechende rechtsrele- vante Tatsachen und taugliche Beweismittel bereits im vorinstanz- lichen Verfahren prozesskonform eingebracht hat (BGE 140 III 86 E. 2). Genügt die Kritik diesen Anforderungen nicht, können Vorbrin- gen mit Bezug auf einen Sachverhalt, der vom angefochtenen Ent- scheid abweicht, nicht berücksichtigt werden (BGE 140 III 16 E. 1.3.1).</w:t>
      </w:r>
    </w:p>
    <w:p>
      <w:r>
        <w:rPr>
          <w:b/>
        </w:rPr>
        <w:t>E. 3</w:t>
      </w:r>
    </w:p>
    <w:p>
      <w:r>
        <w:t>Die Beschwerdeführerin rügt, der Bundesrat habe per 1. Oktober 2020 das Veranstaltungsverbot aufgehoben und per 29. Oktober 2020 wie- der in Kraft gesetzt, womit ein neuer Versicherungsfall unter der Police eingetreten sei. Es lägen mit anderen Worten zwei versicherte Ereig- nisse vor, nämlich das Veranstaltungsverbot vom 28. Februar 2020 und das Veranstaltungsverbot vom 29. Oktober 2020.</w:t>
      </w:r>
    </w:p>
    <w:p>
      <w:r>
        <w:rPr>
          <w:b/>
        </w:rPr>
        <w:t>E. 3.1.1</w:t>
      </w:r>
    </w:p>
    <w:p>
      <w:r>
        <w:t>Allgemeine Geschäftsbedingungen sind grundsätzlich nach denselben Prinzipien auszulegen wie andere vertragliche Bestimmun- gen (BGE 142 III 671 E. 3.3; 135 III 1 E. 2). Entscheidend ist demnach in erster Linie der übereinstimmende wirkliche Wille der Vertragspartei- en und in zweiter Linie, falls ein solcher nicht festgestellt werden kann, die Auslegung der Erklärungen der Parteien aufgrund des Vertrauens- prinzips (BGE 142 III 671 E. 3.3; 140 III 391 E. 2.3). Die Erklärungen der Parteien sind so auszulegen, wie sie nach ihrem Wortlaut und Zu- sammenhang sowie den gesamten Umständen verstanden werden durften und mussten (BGE 146 V 28 E. 3.2; 145 III 365 E. 3.2.1; 144 III 327 E. 5.2.2.1). Dabei ist vom Wortlaut der Erklärungen auszugehen, die jedoch nicht isoliert, sondern aus ihrem konkreten Sinngefüge heraus zu beurteilen sind (BGE 138 III 659 E. 4.2.1; 132 III 626 E. 3.1; 123 III 165 E. 3a). Massgebend ist der Zeitpunkt des Vertragsschlusses, weshalb bei der Auslegung nach dem Vertrauensprinzip nachträgliches Parteiverhalten nicht von Bedeutung ist (BGE 132 III 626 E. 3.1; 129 III 675 E. 2.3). Das Bundesgericht überprüft die objektivierte Auslegung von Willens- erklärungen als Rechtsfrage, wobei es an Feststellungen des kantona- Seite 6</w:t>
      </w:r>
    </w:p>
    <w:p>
      <w:r>
        <w:t>len Gerichts über die äusseren Umstände sowie das Wissen und Wol- len der Beteiligten grundsätzlich gebunden ist (BGE 148 III 57 E. 2.2.1).</w:t>
      </w:r>
    </w:p>
    <w:p>
      <w:r>
        <w:rPr>
          <w:b/>
        </w:rPr>
        <w:t>E. 3.1.2</w:t>
      </w:r>
    </w:p>
    <w:p>
      <w:r>
        <w:t>Mehrdeutige Wendungen in allgemeinen Geschäftsbedingungen sind im Zweifel zu Lasten jener Partei auszulegen, die sie verfasst hat (sogenannte Unklarheitsregel). In allgemeinen Versicherungsbedin- gungen sind mehrdeutige Klauseln somit gegen den Versicherer als deren Verfasser zu interpretieren (BGE 146 III 339 E. 5.2.3; 133 III 61 E. 2.2.2.3, 607 E. 2.2). Für den Versicherungsvertrag konkretisiert Art. 33 VVG (SR 221.229.1) die Unklarheitsregel insofern, als der Ver- sicherer für alle Ereignisse haftet, welche die Merkmale der versich- erten Gefahr an sich tragen, es sei denn, dass der Vertrag einzelne Ereignisse in "bestimmter, unzweideutiger Fassung" von der Versi- cherung ausschliesst (Urteile 4A_303/2022 vom 17. Oktober 2022 E. 3; 4A_92/2020 vom 5. August 2020 E. 3.2.2). Es ist somit am Ver- sicherer, die Tragweite der Verpflichtung, die er eingehen will, genau zu begrenzen (BGE 135 III 410 E. 3.2; 133 III 675 E. 3.3; zu Art. 33 VVG). Die Unklarheitsregel kommt jedoch nur subsidiär zur Anwen- dung, wenn sämtliche übrigen Auslegungsmittel versagen (BGE 133 III 61 E. 2.2.2.3). Es genügt mithin nicht, dass die Parteien über die Bedeutung einer Erklärung streiten, sondern es ist vorausgesetzt, dass die Erklärung nach Treu und Glauben auf verschiedene Weise ver- standen werden kann (BGE 118 II 342 E. 1a) und es nicht möglich ist, den Zweifel mit den übrigen Auslegungsmitteln zu beseitigen. Auch die Anwendung der Unklarheitsregel prüft das Bundesgericht als Rechts- frage frei (BGE 148 III 57 E. 2.2.2).</w:t>
      </w:r>
    </w:p>
    <w:p>
      <w:r>
        <w:rPr>
          <w:b/>
        </w:rPr>
        <w:t>E. 3.2</w:t>
      </w:r>
    </w:p>
    <w:p>
      <w:r>
        <w:t>Die strittige Umschreibung der "versicherten Ereignisse" der Hy- gieneversicherung lautet gemäss Ziffer 4.2.5 wie folgt: "Versichert sind Massnahmen, die eine zuständige schweizerische oder liech- tensteinische Behörde oder ein nach EN 45001/ISO 17025 akkreditiertes La- bor aufgrund gesetzlicher Bestimmungen verfügt oder empfiehlt, u.a. auch Durchführungsverbot von öffentlichen Anlässen (z.B. OLMA), um durch - die Betriebsschliessung, Teilschliessung, Quarantäne oder Einschränkung der betrieblichen Tätigkeit - die Beseitigung oder Aufbereitung von infizierter Ware im Betrieb Seite 7</w:t>
      </w:r>
    </w:p>
    <w:p>
      <w:r>
        <w:t>- die Gefährdung der menschlichen Gesundheit durch Personen, Tiere, Le- bensmittel, Gebrauchs- und Verbrauchsgegenstände, Durchführung von öf- fentlichen Anlässen sowie Wasser aus Schwimmbädern zu verhindern.". Zu den versicherten Sachen und Kosten gehören unter anderem: "a) Ertragsausfälle und Mehrkosten, die entstehen, wenn der Betrieb des Ver- sicherungsnehmers infolge der umschriebenen Massnahmen nicht oder nur teilweise weitergeführt [werden] kann; b) Ertragsausfälle und Mehrkosten, die entstehen, wenn ein Fremdbetrieb von einem versicherten Ereignis betroffen wird und dadurch der Betrieb des Versicherungsnehmers vorübergehend nicht oder nur teilweise weitergeführt werden kann (Rückwirkungsschaden). Die Haftung beginnt mit dem Eintritt des Ereignisses im Fremdbetrieb."</w:t>
      </w:r>
    </w:p>
    <w:p>
      <w:r>
        <w:rPr>
          <w:b/>
        </w:rPr>
        <w:t>E. 3.3</w:t>
      </w:r>
    </w:p>
    <w:p>
      <w:r>
        <w:t>Die Vorinstanz hielt fest, ein tatsächlicher Konsens der Parteien sei nicht nachgewiesen, womit eine Auslegung nach dem Vertrauens- prinzip zu erfolgen habe. Die behördlich angeordnete Massnahme bilde das versicherte Ereig- nis. Diese müsse dazu dienen, die Gefährdung der menschlichen Ge- sundheit zu verhindern. Dazu gehörten neben "Betriebsschliessung, Teilschliessung, Quarantäne" auch die blosse "Einschränkung der be- trieblichen Tätigkeit". Beim versicherten Ereignis handle es sich somit um behördliche Massnahmen, die zum Schutz der Gesundheit zu Ein- schränkungen des Betriebs der Beschwerdeführerin führten. Solche Massnahmen könnten insbesondere ein Veranstaltungsverbot beinhal- ten. Dabei handle es sich jedoch nur um ein Beispiel für eine versi- cherte Betriebseinschränkung. Betriebliche Einschränkungen könnten auch aufgrund weniger einschneidender Massnahmen entstehen, wenn z.B. Restaurants abends früher schliessen müssten. Als Beispiel einer öffentlichen Veranstaltung werde in der Police die Olma erwähnt. Dies sei so zu verstehen, dass ein behördliches gesundheitsbedingtes Verbot einer Veranstaltung selbst dann als versichertes Ereignis zu gelten habe, wenn der Gastrobetrieb der Beschwerdeführerin selbst keinen Einschränkungen unterliege. Als versichertes Ereignis gälten somit gesundheitsbedingte, behördlich angeordnete Massnahmen, so- weit sie betriebliche Einschränkungen bei der Beschwerdeführerin verursachten und zudem zu Ertragsausfällen oder Mehrkosten führten. Darüber hinaus seien auch Veranstaltungsverbote versichert, die zu Ertragsausfällen oder Mehrkosten bei der Beschwerdeführerin führten, selbst wenn ihr Betrieb direkt keinen Einschränkungen unterliege. Seite 8</w:t>
      </w:r>
    </w:p>
    <w:p>
      <w:r>
        <w:t>Der Bundesrat habe nach dem Verhältnismässigkeitsprinzip auf die Pandemie reagiert und die Massnahmen der aktuellen Entwicklung und Erkenntnis angepasst (mit Verweis auf das Urteil 4A_303/2022 vom 17. Oktober 2022 E. 6.1 f.). Es habe sich bei den bundesrätlichen Massnahmen um ein einheitliches Massnahmenpaket gehandelt. Im Übrigen stünde es im Widerspruch zum Verhältnismässigkeitsprinzip, wenn eine Versicherung bei verhältnismässigem Verhalten der Behör- den mehrfach leisten müsste und bei unverhältnismässigem Vorgehen nur einmal die Versicherungsleistung erbringen müsste. Dies sei im Rahmen der Auslegung ebenfalls zu berücksichtigen. Die Beschwerdeführerin habe die Behauptung der Beschwerdegeg- nerin, dass für den Gastrobereich vom 28. Februar 2020 bis zur Ein- reichung der Klageantwort durchgehend betriebliche Einschränkungen bestanden hätte, nicht substanziiert bestritten. Es sei davon auszu- gehen, dass die behördlichen Massnahmen vom 28. Februar 2020 bis über das erneute Verbot von Grossveranstaltungen vom 29. Oktober 2020 angedauert und durchgehend betriebliche Einschränkungen (in verschiedener Ausprägung) bei der Beschwerdeführerin zur Folge ge- habt hätten, zumal deren Betriebe nicht nur im Bereich von Grossver- anstaltungen tätig gewesen seien. Die Verschärfung der Massnahmen per 29. Oktober 2020 sei kein neues versichertes Ereignis. Die betrieb- lichen Einschränkungen aufgrund des Massnahmenpakets des Bun- desrats seien vielmehr ein einziges versichertes Ereignis. Massgebend sei, dass die betrieblichen Einschränkungen für die Gastronomie auf- grund der behördlichen Massnahmen nicht per 1. Oktober 2020 voll- ständig aufgehoben worden seien. Zusammenfassend sei mit dem Veranstaltungsverbot per 29. Oktober 2020 kein zweites Schadenereignis eingetreten, weshalb dafür keine Versicherungsdeckung bestehe.</w:t>
      </w:r>
    </w:p>
    <w:p>
      <w:r>
        <w:rPr>
          <w:b/>
        </w:rPr>
        <w:t>E. 3.4</w:t>
      </w:r>
    </w:p>
    <w:p>
      <w:r>
        <w:t>Die Beschwerdeführerin rügt eine Verletzung von Art. 18 OR und Art. 33 VVG. Sie macht geltend, die Vorinstanz habe den Wortlaut der betreffenden Klausel nicht berücksichtigt. Versichert sei eine Mass- nahme (vorliegend ein Veranstaltungsverbot) und nicht ein Massnah- menpaket. Es gebe keinen Anlass, von diesem Wortlaut abzuweichen. Die Vorinstanz habe sich am Urteil 4A_303/2022 vom 17. Oktober 2023 orientiert, dabei aber die wesentlichen Unterschiede zwischen den beiden Fällen unberücksichtigt gelassen.</w:t>
      </w:r>
    </w:p>
    <w:p>
      <w:r>
        <w:rPr>
          <w:b/>
        </w:rPr>
        <w:t>E. 3.4.1</w:t>
      </w:r>
    </w:p>
    <w:p>
      <w:r>
        <w:t>Was die Beschwerdeführerin gegen die vorinstanzlichen Erwä- gungen einwendet, erschöpft sich über weite Strecken in appellatori- Seite 9</w:t>
      </w:r>
    </w:p>
    <w:p>
      <w:r>
        <w:t>scher Kritik. Sie vermag die vorinstanzliche Feststellung, dass ihr Be- trieb seit der Einführung des Veranstaltungsverbots am 28. Februar 2020 bis und mit der Verschärfung der COVID-Massnahmen ab 29. Oktober 2020 durchgehend (wenn auch in verschiedener Ausprä- gung) eingeschränkt gewesen sei, nicht als willkürlich auszuweisen (vgl. hiervor E. 2.2). Es geht somit gerade nicht um die Frage, ob nach der vollständigen Aufhebung sämtlicher COVID-Massnahmen im Gas- trobereich eine neue Anordnung von Massnahmen ein neues Scha- denereignis zu begründen vermöchte.</w:t>
      </w:r>
    </w:p>
    <w:p>
      <w:r>
        <w:rPr>
          <w:b/>
        </w:rPr>
        <w:t>E. 3.4.2</w:t>
      </w:r>
    </w:p>
    <w:p>
      <w:r>
        <w:t>Die Beschwerdeführerin stützt sich in ihrer Argumentation (Massnahme [Veranstaltungsverbot] ist nicht gleichbedeutend mit Massnahmenpaket) allein auf den Wortlaut der betreffenden Bestim- mung. Sie übergeht dabei, dass dieser nicht isoliert, sondern aus dem konkreten Sinngefüge zu betrachten ist (BGE 138 III 659 E. 4.2.1; 132 III 626 E. 3.1). Auch ihr Einwand, die Vorinstanz habe sich zu Unrecht am zitierten Urteil 4A_303/2022 orientiert, ist unbegründet. Sie vermag bereits kei- ne erheblichen Unterschiede zwischen dem vorliegenden Fall und dem zitierten Urteil aufzuzeigen. Damit kann offenbleiben, ob ihr Einwand ohnehin verspätet wäre, wie die Beschwerdegegnerin geltend macht. Die Beschwerdeführerin rügt, im zitierten Urteil 4A_303/2022 sei es bloss um die Verlängerung einer (unveränderten) Massnahme gegan- gen, während vorliegend die Verschärfung einer Massnahme zu beur- teilen sei (namentlich ein Verbot von Veranstaltungen mit mehr als 50 Personen). Aus dem zitierten Urteil 4A_303/2022 ergibt sich ohne Weiteres, dass die dortige Beschwerdeführerin im bundesgerichtlichen Verfahren nicht mehr geltend machte, eine blosse Verlängerung einer Massnahme begründe ein neues versichertes Ereignis (zit. Urteil 4A_303/2022 E. 6.1 in fine). Auch die diesem Urteil zugrundeliegende Beschwerde bezog sich somit auf bundesrätliche Anordnungen, mit denen die angeordneten Massnahmen abgeändert wurden. Entspre- chend erwog das Bundesgericht, es bleibe ein einheitliches Massnah- menpaket, ob es um Änderungen der behördlichen Anordnungen be- treffend Intensität (Einschränkung, Schliessung, Wiedereröffnung mit Auflagen) oder Dauer (Befristung, Verlängerung) gehe (zit. Urteil 4A_303/2022 E. 6.2 in fine). Auch die vorliegend erfolgte Vereinbarung einer Haftzeit von 90 Tagen ändert nichts an der zutreffenden vorinstanzlichen Auslegung, dass das versicherte Ereignis mit der ersten massnahmebedingten Betriebs- Seite 10</w:t>
      </w:r>
    </w:p>
    <w:p>
      <w:r>
        <w:t>einschränkung eintrat und solange andauerte, wie die entsprechenden (gesamten) Massnahmen anhielten. Die Beschwerdegegnerin macht zutreffend geltend, mit Ablauf der Haftzeit von 90 Tagen habe ihre Leistungspflicht geendet, nicht aber das versicherte Ereignis. Folgte man der Auffassung der Beschwerdeführerin, würde jede Anpassung der COVID-Massnahmen ein neues versichertes Ereignis begründen, jeweils mit einer Versicherungssumme von 1 Mio. und einer Haftzeit von 90 Tagen. Wie die Beschwerdegegnerin zu Recht geltend macht, liesse ein solches Verständnis die im Versicherungsvertrag vereinbarte zeitliche Leistungsbeschränkung ins Leere laufen. Das Gesagte gilt auch, wenn jedes einzelne Veranstaltungsverbot als neues versicher- tes Ereignis verstanden würde, zumal die Vorinstanz ausführlich dar- gelegt hat, dass es sich nicht bloss um eine "Veranstaltungsverbots- versicherung" handelt, sondern darüber hinausgehend generell ge- sundheitsbedingte, behördlich angeordnete Massnahmen versichert sind, soweit sie betriebliche Einschränkungen bei der Beschwerdefüh- rerin verursachten (vgl. hiervor E. 3.3). Die Vorinstanz verwies in diesem Zusammenhang denn auch zu- treffend auf die Erfordernisse des Verhältnismässigkeitsprinzips. Hätte der Bundesrat Grossveranstaltungen durchgehend verboten, läge unbestritten nur ein Versicherungsfall vor. Dass der Bundesrat im Ein- klang mit dem Verhältnismässigkeitsprinzip Grossveranstaltungen zeit- weise (unter strengen Auflagen) wieder erlaubte, kann – entgegen der Beschwerdeführerin – nicht dazu führen, dass ein zweiter Versi- cherungsfall eintritt. Nichts ändert ihr Beispiel betreffend die Affen- pocken. Sie argumentiert, das Bundesamt für Gesundheit (BAG) habe am 15. August 2022 eine erste Massnahme angeordnet, nämlich eine "nationale Meldepflicht für Affenpocken-Ansteckungen". Sie macht diesbezüglich geltend, wenn sich das Risiko vergrössert und die Be- hörde weitere Massnahmen erlassen hätte oder noch erlassen würde, hätte die vorinstanzliche Auslegung zur Konsequenz, dass sie als Ver- sicherte jeden Anspruch auf künftige Versicherungsleistungen von vornherein verloren hätte. Die Beschwerdeführerin übergeht in ihrem Beispiel bereits, dass nicht irgendwelche bundesrätlichen Schutzmass- nahmen das versicherte Ereignis begründen, sondern nur solche, die deren Betrieb einschränken. Wie eine nationale Meldepflicht den Be- trieb der Beschwerdeführerin einschränken sollte, ist nicht ersichtlich.</w:t>
      </w:r>
    </w:p>
    <w:p>
      <w:r>
        <w:rPr>
          <w:b/>
        </w:rPr>
        <w:t>E. 3.4.3</w:t>
      </w:r>
    </w:p>
    <w:p>
      <w:r>
        <w:t>Wie die Beschwerdegegnerin mit Verweis auf die vorinstanz- lichen Plädoyernotizen der Beschwerdeführerin (dort S. 11 ) zu Recht ausführt, hatte diese vor der Vorinstanz im Übrigen selbst nicht be- hauptet, die jeweiligen Anpassungen der bundesrätlichen COVID- Seite 11</w:t>
      </w:r>
    </w:p>
    <w:p>
      <w:r>
        <w:t>Massnahmen stellten separate Massnahmen dar, die jeweils ein ver- sichertes Ereignis begründeten. Einzig betreffend die Verschärfung der Massnahmen vom 29. Oktober 2020 will sie von einem neuen ver- sicherten Ereignis ausgehen. Daraus folgt, dass offenbar die Be- schwerdeführerin selbst die betreffende Klausel nicht so verstanden hat, dass grundsätzlich jede COVID-Massnahme ein neues versi- chertes Ereignis begründet. Es ist nicht ersichtlich und die Be- schwerdeführerin legt auch nicht dar, inwiefern die bundesrätliche Ver- schärfung der Massnahmen vom 29. Oktober 2020 anders behandelt werden sollte als die restlichen Verschärfungen oder Verlängerungen der Massnahmen.</w:t>
      </w:r>
    </w:p>
    <w:p>
      <w:r>
        <w:rPr>
          <w:b/>
        </w:rPr>
        <w:t>E. 3.4.4</w:t>
      </w:r>
    </w:p>
    <w:p>
      <w:r>
        <w:t>Zusammenfassend vermag die Beschwerdeführerin keine Ver- letzung von Art. 18 OR darzutun. Damit verbleibt für die Anwendung von Art. 33 VVG bzw. der Unklarheitsregel kein Raum. Denn es blei- ben betreffend die Auslegung der strittigen Klausel keine Zweifel, die nicht mit den üblichen Auslegungsmitteln beseitigt werden könnten (vgl. hiervor E. 3.1.2). Die Rüge einer Verletzung von Art. 33 VVG ist unbegründet.</w:t>
      </w:r>
    </w:p>
    <w:p>
      <w:r>
        <w:rPr>
          <w:b/>
        </w:rPr>
        <w:t>E. 4</w:t>
      </w:r>
    </w:p>
    <w:p>
      <w:r>
        <w:t>Nach dem Gesagten ist die Beschwerde abzuweisen, soweit darauf einzutreten ist. Bei diesem Ergebnis wird die Beschwerdeführerin kosten- und entschädigungspflichtig (Art. 66 Abs. 1 und Art. 68 Abs. 1 und 2 BGG).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