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20220309_d_ch_b_01 vom 9. März 2022</w:t>
      </w:r>
    </w:p>
    <w:p>
      <w:r>
        <w:t>FINMA Versicherungsrecht, 2022-03-09, DE</w:t>
      </w:r>
    </w:p>
    <w:p>
      <w:r>
        <w:rPr>
          <w:b/>
        </w:rPr>
        <w:t xml:space="preserve">Quelle: </w:t>
      </w:r>
      <w:r>
        <w:t>https://mcp.opencaselaw.ch/entscheid/finma_versicherungsrecht_20220309_d_ch_b_01</w:t>
      </w:r>
    </w:p>
    <w:p>
      <w:r>
        <w:t>FR: FINMA_VERSICHERUNGSRECHT 20220309_d_ch_b_01 du 9 mars 2022</w:t>
      </w:r>
    </w:p>
    <w:p>
      <w:r>
        <w:t>IT: FINMA_VERSICHERUNGSRECHT 20220309_d_ch_b_01 del 9 marzo 2022</w:t>
      </w:r>
    </w:p>
    <w:p>
      <w:pPr>
        <w:pStyle w:val="Heading2"/>
      </w:pPr>
      <w:r>
        <w:t>Erwägungen</w:t>
      </w:r>
    </w:p>
    <w:p>
      <w:r>
        <w:rPr>
          <w:b/>
        </w:rPr>
        <w:t>E. 1.1</w:t>
      </w:r>
    </w:p>
    <w:p>
      <w:r>
        <w:t>Die vorliegende Streitigkeit betrifft die Leistungspflicht der Beschwerdegegnerin aus einer gebundenen Vorsorgeversicherung der Säule 3a nach Art. 82 Abs. 2 BVG und Art. 1 Abs. 1 lit. a der Verord - nung vom 13. November 1985 über die steuerliche Abzugsberechti- gung für Beiträge an anerkannte Vorsorgeformen (BVV 3; SR 831.461.3). Sie fällt damit in die sachliche Zuständigkeit der Berufs- vorsorgegerichte (Art. 73 Abs. 1 lit. b BVG). Letztinstanzlich ist die II. sozialrechtliche Abteilung des Bundesgerichts zuständig (Art. 35 lit. e des Reglementes für das Bundesgericht vom 20. November 2006 [BGerR; SR 173.110.131] in Verbindung mit Art. 49 und 73 BVG; BGE 141 V 439 E. 1.1 mit Hinweisen).</w:t>
      </w:r>
    </w:p>
    <w:p>
      <w:r>
        <w:rPr>
          <w:b/>
        </w:rPr>
        <w:t>E. 1.2</w:t>
      </w:r>
    </w:p>
    <w:p>
      <w:r>
        <w:t>Mit der Beschwerde in öffentlich-rechtlichen Angelegenheiten kann unter anderem die Verletzung von Bundesrecht gerügt werden (Art. 95 lit. a BGG). Die Feststellung des Sachverhalts kann nur gerügt werden, wenn sie offensichtlich unrichtig ist oder auf einer Rechtsver- letzung im Sinne von Artikel 95 beruht und wenn die Behebung des Seite 3</w:t>
      </w:r>
    </w:p>
    <w:p>
      <w:r>
        <w:t>Mangels für den Ausgang des Verfahrens entscheidend sein kann (Art. 97 Abs. 1 BGG). Das Bundesgericht legt seinem Urteil den Sach- verhalt zugrunde, den die Vorinstanz festgestellt hat (Art. 105 Abs. 1 BGG). Es kann die Sachverhaltsfeststellung der Vorinstanz von Amtes wegen berichtigen oder ergänzen, wenn sie offensichtlich unrichtig ist oder auf einer Rechtsverletzung im Sinne von Artikel 95 beruht (Art. 105 Abs. 2 BGG).</w:t>
      </w:r>
    </w:p>
    <w:p>
      <w:r>
        <w:rPr>
          <w:b/>
        </w:rPr>
        <w:t>E. 2.1</w:t>
      </w:r>
    </w:p>
    <w:p>
      <w:r>
        <w:t>In der Beschwerde wird lediglich die Aufhebung des angefochte- nen Entscheides und die Rückweisung der Sache zu neuem Entscheid an das kantonale Gericht beantragt. Begründet wird dieses Begehren damit, dass dem Beschwerdeführer mit der vorinstanzlichen Ableh- nung seines Antrages auf Edition der beschwerdegegnerischen Jah- resrechnungen 1996 bis 2019 das Recht verweigert werde, die Höhe des Überschusses aufgrund der konkreten Zahlen zu prüfen und gestützt darauf seine Ansprüche zu beziffern. Dies verletze das Will- kürverbot, das rechtliche Gehör sowie Art. 1 ff. und 18 OR.</w:t>
      </w:r>
    </w:p>
    <w:p>
      <w:r>
        <w:rPr>
          <w:b/>
        </w:rPr>
        <w:t>E. 2.2</w:t>
      </w:r>
    </w:p>
    <w:p>
      <w:r>
        <w:t>Streitig und zu prüfen ist damit, ob die Vorinstanz Bundesrecht verletzte, indem sie dem in der Klage gestellten Editionsbegehren betreffend die beschwerdegegnerischen Jahresrechnungen 1996 bis 2019 nicht stattgab.</w:t>
      </w:r>
    </w:p>
    <w:p>
      <w:r>
        <w:rPr>
          <w:b/>
        </w:rPr>
        <w:t>E. 3.1</w:t>
      </w:r>
    </w:p>
    <w:p>
      <w:r>
        <w:t>Kapitalbildende Lebensversicherungsverträge haben typischer- weise eine lange Vertragsdauer, wobei sowohl die Versicherungs- leistungen als auch die Höhe der Prämien bereits bei Vertragsschluss festgelegt werden. Werden die Prämien vorsorglich in der Weise aus- gestaltet, dass sie den tatsächlichen Risiko- und Kostenbedarf über- steigen und ergibt sich daraus ein Gewinn des Versicherungsunter- nehmens, soll der Versicherungsnehmer an diesem Gewinn beteiligt werden. Bei Vertragsschluss wird diesem daher neben der Todes- oder Erlebensfallleistung eine zusätzliche Leistung in Form der soge- nannten Überschussbeteiligung zugesichert. Die Höhe der Über- schussbeteiligung kann im Zeitpunkt des Vertragsschlusses zwar nicht exakt beziffert werden, jedoch wird dem Versicherungsnehmer anhand von Modellrechnungen aufgezeigt, wie sich die Werte ausgehend von realistischen Einschätzungen grundsätzlich entwickeln könnten (BGE 140 II 16 E. 2.2 mit Hinweis auf Art. 3 Abs. 1 lit. e und Art. 94 VVG [SR 221.229.1] sowie Botschaft vom 7. September 2011 zur Totalrevision Seite 4</w:t>
      </w:r>
    </w:p>
    <w:p>
      <w:r>
        <w:t>des Versicherungsvertragsgesetzes, BBl 2011 7705 ff., 7798 f.; ANDREA PFLEIDERER, Die Überschussbeteiligung in der Lebensversiche- rung [nachfolgend zit.: Überschussbeteiligung], 2006, S. 1 f. und 17 f.; SCHUDEL TRÜB, in: Basler Kommentar, Versicherungsaufsichtsgesetz, 2013, N. 86 zu Art. 36 VAG).</w:t>
      </w:r>
    </w:p>
    <w:p>
      <w:r>
        <w:rPr>
          <w:b/>
        </w:rPr>
        <w:t>E. 3.2</w:t>
      </w:r>
    </w:p>
    <w:p>
      <w:r>
        <w:t>Bei Lebensversicherungen ausserhalb der beruflichen Vorsorge besteht keine gesetzliche Verpflichtung zur Beteiligung an den Über- schüssen. Ein Überschussanspruch hängt somit von einer entspre- chenden Zusage der Versicherungsgesellschaft ab (BGE 140 II 16 E. 2.2; PFLEIDERER, a.a.O., S. 55 und 59; KUHN/GEIGER-STEINER, in: Basler Kommentar, Versicherungsvertragsgesetz, Nachführungsband, 2012, N. 14 zu Art. 3 VVG; SCHUDEL TRÜB, a.a.O., N. 86 f. zu Art. 36 VAG). Zusätzlich ist erforderlich, dass überhaupt Überschüsse erwirtschaftet werden (BGE 140 II 16 E. 2.2 mit Hinweis auf Urteil 2A.255/2002 vom 22. April 2003 E. 3.3). Dies ist der Fall, wenn die Erträge die Aufwendungen eines Versicherungsportefeuilles übersteigen, wobei die entsprechenden Überschüsse aus Zins-, Risiko-</w:t>
      </w:r>
    </w:p>
    <w:p>
      <w:r>
        <w:t>und</w:t>
      </w:r>
    </w:p>
    <w:p>
      <w:r>
        <w:t>Kostenüberschüssen</w:t>
      </w:r>
    </w:p>
    <w:p>
      <w:r>
        <w:t>entstehen</w:t>
      </w:r>
    </w:p>
    <w:p>
      <w:r>
        <w:t>können (FISCHER/GISLER/WIEDMER, Einzellebensversicherung, 2015, S. 128 f.; SCHUDEL TRÜB, a.a.O., N. 102 zu Art. 36 VAG).</w:t>
      </w:r>
    </w:p>
    <w:p>
      <w:r>
        <w:rPr>
          <w:b/>
        </w:rPr>
        <w:t>E. 3.3</w:t>
      </w:r>
    </w:p>
    <w:p>
      <w:r>
        <w:t>Versicherungsunternehmen, welche die direkte Einzel- oder Kol- lektivlebensversicherung betreiben und Lebensversicherungsverträge mit Überschussbeteiligung erfüllen müssen, haben den Versicherungs- nehmern jährlich eine nachvollziehbare Abrechnung über die Über- schussbeteiligung abzugeben, aus welcher insbesondere hervorgehen muss, auf welchen Grundlagen die Überschüsse berechnet und nach welchen Grundsätzen sie verteilt wurden (Art. 36 Abs. 2 des Bundes- gesetzes vom 17. Dezember 2004 betreffend die Aufsicht über Ver- sicherungsunternehmen</w:t>
      </w:r>
    </w:p>
    <w:p>
      <w:r>
        <w:t>[Versicherungsaufsichtsgesetz,</w:t>
      </w:r>
    </w:p>
    <w:p>
      <w:r>
        <w:t>VAG; SR 961.01; in Kraft seit 1. Januar 2006]; vgl. auch Botschaft vom 9. Mai 2003 zu einem Gesetz über die Aufsicht über Versicherungs- unternehmen [Versicherungsaufsichtsgesetz, VAG] und zur Änderung des Bundesgesetzes über den Versicherungsvertrag, BBl 2002 S. 3789 ff., 3825; SCHUDEL TRÜB, a.a.O., N. 119 zu Art. 36 VAG; WEBER/BAISCH, Versicherungsaufsichtsrecht, 2. Aufl. 2017, S. 161). Für den Teil ausserhalb der beruflichen Vorsorge bilden die Versiche- rungsunternehmen einen Überschussfonds, welcher eine versiche- rungstechnische Bilanzposition zur Bereitstellung der den Versiche- rungsnehmern zustehenden Überschussanteile darstellt (Art. 136 Abs. 1 der Verordnung über die Beaufsichtigung von privaten Ver- sicherungsunternehmen [Aufsichtsverordnung, AVO; SR 961.011]). Seite 5</w:t>
      </w:r>
    </w:p>
    <w:p>
      <w:r>
        <w:t>Die Überschusszuteilung ist nach anerkannten versicherungsmathe- matischen Methoden und unter Vermeidung missbräuchlicher Un- gleichbehandlungen vorzunehmen. Sobald die Überschussanteile den einzelnen Versicherungsnehmern zugeteilt sind, gelten sie als ge- schuldet. Sie sind den Anspruchsberechtigten entsprechend den ver- traglichen Regelungen auszuschütten oder, falls die verzinsliche An- sammlung der Überschussanteile vereinbart wurde, in einer eigens dafür</w:t>
      </w:r>
    </w:p>
    <w:p>
      <w:r>
        <w:t>geschaffenen</w:t>
      </w:r>
    </w:p>
    <w:p>
      <w:r>
        <w:t>versicherungstechnischen</w:t>
      </w:r>
    </w:p>
    <w:p>
      <w:r>
        <w:t>Bilanzposition auszuweisen (Art. 137 Abs. 1 und 2 AVO; WEBER/BAISCH, a.a.O., S. 161).</w:t>
      </w:r>
    </w:p>
    <w:p>
      <w:r>
        <w:rPr>
          <w:b/>
        </w:rPr>
        <w:t>E. 4.1</w:t>
      </w:r>
    </w:p>
    <w:p>
      <w:r>
        <w:t>Die zur Police Nr. 1.1... («winplus+») gehörenden Allgemeinen Bestimmungen für die gebundene Vorsorge der Winterthur-Leben (AG), Ausgabe 11.92, sehen vor: "4. Was bietet Ihnen der Bonus? Zusätzlich zur vereinbarten Versicherungsleistung gewähren wir in der Regel einen Bonus. Dessen Höhe hängt von unseren Aufwendungen für Todes- bzw. Erwerbsunfähigkeitsfälle, von der Entwicklung der Kosten sowie vom Ertrag der Kapitalanlagen ab und kann nicht garantiert werden. Der Bonus wird für die Finanzierung einer Gemischten Versicherung (Leistungsbonus) verwendet. Bei rückkaufsfähigen Risikoversicherungen kann er auch zur Reduktion der Prämien (Prämienbonus) verwendet werden."</w:t>
      </w:r>
    </w:p>
    <w:p>
      <w:r>
        <w:rPr>
          <w:b/>
        </w:rPr>
        <w:t>E. 4.2</w:t>
      </w:r>
    </w:p>
    <w:p>
      <w:r>
        <w:t>Die zur Police Nr. 1.2... («winspiro») gehörenden Versiche- rungsbestimmungen für die gebundene Vorsorge der Winterthur- Leben, Ausgabe 01.97, sehen vor: "8. Was bietet Ihnen der Bonus? [8.1 ...] 8.2 Der Bonus, welcher aus den Überschüssen finanziert wird, wird jährlich festgesetzt und kann nicht garantiert werden. Diese Überschüsse entstehen, wenn gegenüber den Annahmen, welche der Prämienberechnung zugrunde liegen, die Erträge der Kapitalanlagen höher, die Aufwendungen für Todes- bzw. Erwerbsunfähigkeitsfälle tiefer und/oder die Kosten geringer sind. 8.3 Der Bonus wird in Form eines Leistungsbonus gewährt oder zur Reduktion der Prämien (Prämienbonus) verwendet. Bei vermögensbildenden Versicherungen ist nur Leistungsbonus möglich. Bei Risikoversicherungen ist Leistungsbonus oder Prämienbonus wählbar. 8.3.1 Der Leistungsbonus wird per Ablauf jedes Versicherungsjahres zugewiesen. Mit den jährlichen Überschüssen wird eine separat geführte Versicherung mit gleicher Leistung im Erlebens- und im Todesfall finanziert, welche wiederum bonusberechtigt ist. Der angesammelte Leistungsbonus wird am festgelegten Endtermin, frühestens jedoch fünf Jahre vor Erreichen Seite 6</w:t>
      </w:r>
    </w:p>
    <w:p>
      <w:r>
        <w:t>des AHV-Alters, oder im Todesfall der versicherten Person ausbezahlt. Bei Todesfall-Zeitrenten und bei Terminversicherungen wird mit den jährlichen Überschüssen eine separat geführte Terminversicherung finanziert, welche wiederum bonusberechtigt ist. Bei einer rückkaufsfähigen Versicherung kann der Leistungsbonus nur zusammen mit der entsprechenden Versicherungsleistung zurückgekauft werden. Bei einer nicht rückkaufsfähigen Versicherung kann der Leistungsbonus nur bei Auflösung der entsprechenden Versicherung zurückgekauft werden, frühestens aber nach drei Jahren. Zudem muss einer der in den Ziffern 6 oder 9 aufgeführten Auflösungsgründe vorliegen. Der Rückkaufswert des Leistungsbonus entspricht seinem Deckungskapital. [8.3.2 ...]"</w:t>
      </w:r>
    </w:p>
    <w:p>
      <w:r>
        <w:rPr>
          <w:b/>
        </w:rPr>
        <w:t>E. 5.1</w:t>
      </w:r>
    </w:p>
    <w:p>
      <w:r>
        <w:t>Es steht fest und wird nicht substanziiert bestritten, dass die Beschwerdegegnerin den Beschwerdeführer periodisch mit den bei den Akten liegenden Jahresberichten und Erläuterungen über die Überschussbeteiligung bzw. die entsprechende Abrechnung orientierte (vgl. dazu auch E. 3.3 hiervor). Ergänzend liess sie ihm mit Schreiben vom 20. August 2019 Darstellungen der Wertverläufe zukommen. Wei- ter ist nach den verbindlichen und nicht offensichtlich unrichtigen Fest- stellungen im angefochtenen Entscheid davon auszugehen, dass die Aufsichtsbehörde die vom Streit betroffenen Versicherungsverträge, insbesondere die Bestimmungen betreffend die Überschussbeteiligung und die Überschusspläne genehmigt bzw. nicht beanstandet hat.</w:t>
      </w:r>
    </w:p>
    <w:p>
      <w:r>
        <w:rPr>
          <w:b/>
        </w:rPr>
        <w:t>E. 5.2</w:t>
      </w:r>
    </w:p>
    <w:p>
      <w:r>
        <w:t>Der Beschwerdeführer hält seinen Auskunftsanspruch damit indessen nicht für erfüllt und verlangt von der Beschwerdegegnerin über die gewährten, in E. 5.1 genannten Informationen hinaus die Her- ausgabe der Jahresabschlüsse 1996 bis 2019 einschliesslich Konto- blätter und Leistungsüberschussberechnungen bzw. die detaillierten Zahlen der Jahresrechnungen, um die konkrete Berechnung des Über- schusses einzusehen. Er stellt sich auf den Standpunkt, dass er nur auf dieser Grundlage die Höhe der Überschussbeteiligung prüfen kön- ne. Es gehe ihm nicht um die von der Vorinstanz allein thematisierte Einzahlung des Überschusses in den Überschussfonds, sondern um die dieser "vorgelagerte Berechnung der Höhe des Überschusses an- hand der konkreten Jahresrechnung".</w:t>
      </w:r>
    </w:p>
    <w:p>
      <w:r>
        <w:rPr>
          <w:b/>
        </w:rPr>
        <w:t>E. 5.3</w:t>
      </w:r>
    </w:p>
    <w:p>
      <w:r>
        <w:t>Was die vom Beschwerdeführer geforderte Herausgabe der detail- lierten Jahresrechnungen anbelangt, ist zu berücksichtigen, dass der Auskunftsanspruch des einzelnen Versicherungsnehmers durch das legitime Interesse des Versicherungsunternehmens am Schutz von Geschäftsgeheimnissen beschränkt wird (vgl. SCHUDEL TRÜB, a.a.O., Seite 7</w:t>
      </w:r>
    </w:p>
    <w:p>
      <w:r>
        <w:t>N. 110 und 119 zu Art. 36 VAG). Der Anspruch beinhaltet namentlich kein Recht auf Offenlegung des Überschussplanes, weil einem sol- chen legitime Geheimhaltungsinteressen der Versicherungsgesell- schaft gegenüberstehen (PFLEIDERER, Überschussbeteiligung, S. 38). Ebenso wenig erstreckt er sich auf die detaillierten Jahresrechnungen, bei welchen es sich um noch vertraulichere Informationen handelt (zur Zurückhaltung betreffend die Informationsansprüche der Versiche- rungsnehmer: ANTON K. SCHNYDER, "Totalrevision" des VVG, in: Ver- sicherungsvertragsgesetz: Rückblick und Zukunftsperspektiven, Anton K. Schnyder [Hrsg.], 2015, S. 29). Die Kontrolle der Überschusspolitik der Versicherungsunternehmen wird anderweitig gewährleistet (vgl. auch STEPHAN FUHRER, Schweizerisches Privatversicherungsrecht, 2011, Rz. 22.39 mit Hinweis auf Art. 36 VAG, Art. 130 und 136 ff. AVO sowie das inzwischen aufgehobene Rundschreiben der FINMA 2008/40). Neben den in E. 3.3 erwähnten Pflichten haben die Versicherungsunternehmen im</w:t>
      </w:r>
    </w:p>
    <w:p>
      <w:r>
        <w:t>Rahmen</w:t>
      </w:r>
    </w:p>
    <w:p>
      <w:r>
        <w:t>des</w:t>
      </w:r>
    </w:p>
    <w:p>
      <w:r>
        <w:t>jährlichen Aufsichtsberichts (Art. 25 Abs. 2 VAG; vgl. dazu ROLF BÄCHLER, in: Basler Kommentar, Versicherungsaufsichtsgesetz, 2013, N. 4 ff. zu Art. 25 VAG) einen detaillierten Überschussbericht zu verfassen, welcher Informationen enthält zur Aufteilung des Bestandes in Teilbestände, zur Systematik der Verteilung des Überschusses auf die Teilbestände und innerhalb der Teilbestände, zur Wahl der Überschussparameter und zur Höhe der Überschusszuteilung an die Teilbestände (SCHUDEL TRÜB, a.a.O., N. 109 zu Art. 36 VAG; FINMA, Rundschreiben 2016/6, Lebensversicherung, Rz. 99).</w:t>
      </w:r>
    </w:p>
    <w:p>
      <w:r>
        <w:rPr>
          <w:b/>
        </w:rPr>
        <w:t>E. 5.4</w:t>
      </w:r>
    </w:p>
    <w:p>
      <w:r>
        <w:t>Der Gesetzgeber hat dem Versicherungsnehmer, der die Richtig- keit der festgestellten Werte bezweifelt, indessen das Recht einge- räumt, von der FINMA als Aufsichtsbehörde (bzw. bis 31. Dezember 2008 vom Bundesamt für Privatversicherungen) zu verlangen, dass sie unentgeltlich prüft, ob die von der Versicherungsgesellschaft ermit- telten Überschusswerte (welche einen Bestandteil des Umwandlungs- bzw. Rückkaufswertes bilden) den versicherungsmathematischen Grundlagen entsprechen und mit dem Überschussplan übereinstim- men (Art. 92 Abs. 2 in Verbindung mit Art. 94 VVG; vgl. zum Ganzen: PFLEIDERER, Überschussbeteiligung, S. 39; dieselbe, in: Basler Kom- mentar, Versicherungsvertragsgesetz, Nachführungsband, 2012, ad N. 1 zu Art. 94 VVG). Auch dieser Auskunftsanspruch ermöglicht dem Versicherungsnehmer allerdings keine umfassende Information oder eine Rechnungslegung, wie sie für eine Nachprüfung der ihm zu- stehenden Überschussanteile erforderlich wäre; eine solche setzte die vollständige Auskunft über den Überschussplan (einschliesslich Ver- teilschlüssel), weitere Angaben betreffend den Vollzug der Über- Seite 8</w:t>
      </w:r>
    </w:p>
    <w:p>
      <w:r>
        <w:t>schussbeteiligung (die Bildung von Überschussverbänden etc.) sowie eine</w:t>
      </w:r>
    </w:p>
    <w:p>
      <w:r>
        <w:t>vollständige</w:t>
      </w:r>
    </w:p>
    <w:p>
      <w:r>
        <w:t>Rechnungslegung</w:t>
      </w:r>
    </w:p>
    <w:p>
      <w:r>
        <w:t>voraus</w:t>
      </w:r>
    </w:p>
    <w:p>
      <w:r>
        <w:t>(PFLEIDERER, Überschussbeteiligung, S. 96). Dass der Auskunftsanspruch des Versicherungsnehmers in diesem Sinne beschränkt ist, wird dadurch abgemildert, dass die Aufsichtsbehörde im Interessenkonflikt zwischen den legitimen Auskunftsinteressen der Versicherungsnehmer und den berechtigten Geheimhaltungsinteressen der Versicherungsgesellschaft für einen Ausgleich sorgt: Sie hat die Interessen der Versicherungsnehmer zu wahren, ist aber auch neutral gegenüber den ihr von den Versicherungsgesellschaften anvertrauten geheimen Daten (PFLEIDERER, Überschussbeteiligung, S. 100 f.). Es ist denn auch nicht einzusehen, weshalb der Beschwerdeführer auf diese ihm einzig zustehende und allein zielführende Möglichkeit verzichtet hat, gestützt auf Art. 92 Abs. 2 in Verbindung mit Art. 94 VVG an die FINMA zu gelangen (auf welches Recht er im Übrigen bereits in der beschwerdegegnerischen Stellungnahme vom 20. August 2019 hingewiesen worden ist).</w:t>
      </w:r>
    </w:p>
    <w:p>
      <w:r>
        <w:rPr>
          <w:b/>
        </w:rPr>
        <w:t>E. 5.5</w:t>
      </w:r>
    </w:p>
    <w:p>
      <w:r>
        <w:t>Zusammenfassend ergibt sich, dass die Vorinstanz mit der Ableh- nung des beschwerdeführerischen Editionsbegehrens betreffend die detaillierten Jahresrechnungen 1996 bis 2019 kein Bundesrecht ver- letzt hat. Die Beschwerde ist abzuweisen.</w:t>
      </w:r>
    </w:p>
    <w:p>
      <w:r>
        <w:rPr>
          <w:b/>
        </w:rPr>
        <w:t>E. 6</w:t>
      </w:r>
    </w:p>
    <w:p>
      <w:r>
        <w:t>Bei diesem Ausgang des Verfahrens sind die Gerichtskosten dem Beschwerdeführer aufzuerlegen (Art. 66 Abs. 1 BGG). Der Beschwer- degegnerin steht keine Parteientschädigung zu (Art. 68 Abs. 3 BGG).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