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20200416_d_ch_b_02 vom 16. April 2020</w:t>
      </w:r>
    </w:p>
    <w:p>
      <w:r>
        <w:t>FINMA Versicherungsrecht, 2020-04-16, DE</w:t>
      </w:r>
    </w:p>
    <w:p>
      <w:r>
        <w:rPr>
          <w:b/>
        </w:rPr>
        <w:t xml:space="preserve">Quelle: </w:t>
      </w:r>
      <w:r>
        <w:t>https://mcp.opencaselaw.ch/entscheid/finma_versicherungsrecht_20200416_d_ch_b_02</w:t>
      </w:r>
    </w:p>
    <w:p>
      <w:r>
        <w:t>FR: FINMA_VERSICHERUNGSRECHT 20200416_d_ch_b_02 du 16 avril 2020</w:t>
      </w:r>
    </w:p>
    <w:p>
      <w:r>
        <w:t>IT: FINMA_VERSICHERUNGSRECHT 20200416_d_ch_b_02 del 16 aprile 2020</w:t>
      </w:r>
    </w:p>
    <w:p>
      <w:pPr>
        <w:pStyle w:val="Heading2"/>
      </w:pPr>
      <w:r>
        <w:t>Erwägungen</w:t>
      </w:r>
    </w:p>
    <w:p>
      <w:r>
        <w:rPr>
          <w:b/>
        </w:rPr>
        <w:t>E. 1</w:t>
      </w:r>
    </w:p>
    <w:p>
      <w:r>
        <w:t>Das angefochtene Urteil des Sozialversicherungsgerichts hat eine Streitigkeit aus einer Zusatzversicherung zur sozialen Krankenver- sicherung gemäss Art. 7 ZPO zum Gegenstand (siehe dazu Ur- teil 4A_12/2016 vom 23. Mai 2017 E. 1.2 mit Hinweisen). Es ist ein Endentscheid (Art. 90 BGG) einer einzigen kantonalen Instanz im Sin- ne von Art. 75 Abs. 2 lit. a BGG. Dagegen steht grundsätzlich die Be- schwerde in Zivilsachen offen, gemäss Art. 74 Abs. 2 lit. b BGG unab- hängig vom Streitwert (BGE 138 III 799 E. 1.1, 2 E. 1.2.2; siehe auch BGE 139 III 67 E. 1.2).</w:t>
      </w:r>
    </w:p>
    <w:p>
      <w:r>
        <w:rPr>
          <w:b/>
        </w:rPr>
        <w:t>E. 2.1</w:t>
      </w:r>
    </w:p>
    <w:p>
      <w:r>
        <w:t>Mit Beschwerde in Zivilsachen können Rechtsverletzungen nach Art. 95 und 96 BGG gerügt werden. Die Beschwerde ist hinreichend zu begründen, ansonsten darauf nicht eingetreten werden kann (BGE 140 III 115 E. 2 S. 116; 134 II 244 E. 2.1). In der Beschwerdeschrift ist in gedrängter Form darzulegen, inwiefern der angefochtene Akt Recht verletzt (Art. 42 Abs. 2 BGG).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(BGE 140 III 115 E. 2 S. 116, 86 E. 2 S. 89). Seite 3</w:t>
      </w:r>
    </w:p>
    <w:p>
      <w:r>
        <w:rPr>
          <w:b/>
        </w:rPr>
        <w:t>E. 2.2</w:t>
      </w:r>
    </w:p>
    <w:p>
      <w:r>
        <w:t>Das Bundesgericht legt seinem Urteil den Sachverhalt zugrunde, den die Vorinstanz festgestellt hat (Art. 105 Abs. 1 BGG). Dazu ge- 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"Offensichtlich unrichtig" bedeutet dabei "willkürlich" (BGE 140 III 115 E. 2 S. 117; 135 III 397 E. 1.5). Überdies muss die Behebung des Mangels für den Ausgang des Verfahrens entscheidend sein können (Art. 97 Abs. 1 BGG). Neue Tatsachen und Beweismittel dürfen nur so weit vorgebracht werden, als erst der Entscheid der Vorinstanz dazu Anlass gibt (Art. 99 Abs. 1 BGG). Die Partei, welche die Sachver- haltsfeststellung der Vorinstanz anfechten will, muss klar und substan- ziiert aufzeigen, inwiefern diese Voraussetzungen erfüllt sein sollen (BGE 140 III 16 E. 1.3.1 S. 18 mit Hinweisen). Wenn sie den Sachver- halt ergänzen will, hat sie zudem mit präzisen Aktenhinweisen darzu- legen, dass sie entsprechende rechtsrelevante Tatsachen und taugli- che Beweismittel bereits bei den Vorinstanzen prozesskonform einge- bracht hat (BGE 140 III 86 E. 2 S. 90).</w:t>
      </w:r>
    </w:p>
    <w:p>
      <w:r>
        <w:rPr>
          <w:b/>
        </w:rPr>
        <w:t>E. 2.3</w:t>
      </w:r>
    </w:p>
    <w:p>
      <w:r>
        <w:t>Soweit die Parteien die vorinstanzliche Beweiswürdigung kritisie- ren, ist zu beachten, dass das Bundesgericht in diese nur eingreift, wenn sie willkürlich ist. Willkür liegt nach der Rechtsprechung nicht schon dann vor, wenn eine andere Lösung ebenfalls in Betracht zu ziehen oder gar vorzuziehen wäre, sondern bloss, wenn der angefoch- tene Entscheid offensichtlich unhaltbar ist, mit der tatsächlichen Situa- tion in klarem Widerspruch steht, eine Norm oder einen unumstrittenen Rechtsgrundsatz krass verletzt oder in stossender Weise dem Gerechtigkeitsgedanken zuwiderläuft (BGE 141 III 564 E. 4.1; 140 III 16 E. 2.1; je mit Hinweisen). Die Beweiswürdigung ist mithin nicht schon dann willkürlich, wenn sie nicht mit der Darstellung der be- schwerdeführenden Partei übereinstimmt, sondern bloss, wenn sie of- fensichtlich unhaltbar ist (BGE 141 III 564 E. 4.1; 135 II 356 E. 4.2.1). Dies ist dann der Fall, wenn das Gericht Sinn und Tragweite eines Beweismittels offensichtlich verkannt hat, wenn es ohne sachlichen Grund ein wichtiges und entscheidwesentliches Beweismittel unbe- rücksichtigt gelassen oder wenn es auf der Grundlage der fest- gestellten Tatsachen unhaltbare Schlussfolgerungen gezogen hat (BGE 140 III 264 E. 2.3 S. 266; 137 III 226 E. 4.2 S. 234; 136 III 552 E. 4.2). Inwiefern die Beweiswürdigung willkürlich sein soll, ist in der Seite 4</w:t>
      </w:r>
    </w:p>
    <w:p>
      <w:r>
        <w:t>Beschwerde klar und detailliert aufzuzeigen (BGE 134 II 244 E. 2.2). Namentlich genügt es nicht, einzelne Beweise anzuführen, die anders als im angefochtenen Entscheid gewichtet werden sollen, und dem Bundesgericht in appellatorischer Kritik die eigene Auffassung zu un- terbreiten, als ob diesem freie Sachverhaltsprüfung zukäme (vgl. BGE 140 III 264 E. 2.3 S. 266 f.; 116 Ia 85 E. 2b).</w:t>
      </w:r>
    </w:p>
    <w:p>
      <w:r>
        <w:rPr>
          <w:b/>
        </w:rPr>
        <w:t>E. 3</w:t>
      </w:r>
    </w:p>
    <w:p>
      <w:r>
        <w:t>Streitig ist der Taggeldanspruch des Beschwerdeführers für die Zeit ab 1. Januar 2018.</w:t>
      </w:r>
    </w:p>
    <w:p>
      <w:r>
        <w:rPr>
          <w:b/>
        </w:rPr>
        <w:t>E. 3.1</w:t>
      </w:r>
    </w:p>
    <w:p>
      <w:r>
        <w:t>Die Vorinstanz erwog, der Beschwerdeführer habe zu beweisen, dass er über den 31. Dezember 2017 hinaus (weiterhin) arbeitsunfähig sei. Dieser Beweis sei ihm nicht gelungen: Zum Nachweis seiner Arbeitsunfähigkeit stütze er sich nämlich – so das Sozialversicherungsgericht – auf die Beurteilungen seiner behan- delnden Psychiaterin Dr. med. D.________. Diese Berichte seien in- des nicht geeignet, um mit dem notwendigen Beweisgrad der über- wiegenden Wahrscheinlichkeit eine Arbeitsunfähigkeit auszuweisen. Es gehe daraus namentlich nicht schlüssig hervor, weshalb auch an einem anderen Arbeitsplatz eine vollständige Arbeitsunfähigkeit beste- hen solle, zumal sich die Beschwerden des Beschwerdeführers haupt- sächlich auf das alte Arbeitsverhältnis bezogen hätten. Den Gutachten von Dr. med. D.________ lasse sich auch nicht entnehmen, dass sie lösungsorientiert allfällige positive Aspekte einer neuen Arbeitsstelle und der damit einhergehenden finanziellen Entlastung und Distan- zierung von der alten Arbeitsstelle in Betracht gezogen habe. Das Sozialversicherungsgericht nahm sodann auf die zahlreichen Dis- krepanzen zwischen den Beurteilungen von Dr. med. D.________ und jenen von Dr. med. C.________ und Dr. med. E.________ Bezug und hielt ferner fest, es entspreche einer Erfahrungstatsache, dass be- handelnde Ärzte eher zu Gunsten ihrer Patienten aussagten.</w:t>
      </w:r>
    </w:p>
    <w:p>
      <w:r>
        <w:rPr>
          <w:b/>
        </w:rPr>
        <w:t>E. 3.2</w:t>
      </w:r>
    </w:p>
    <w:p>
      <w:r>
        <w:t>Der Beschwerdeführer behauptet, die Vorinstanz habe "die bun- desrechtliche Beweiswürdigungsregel gemäss Art. 8 ZGB verletzt", in- dem sie davon ausgegangen sei, dass seine Arbeitsunfähigkeit "für die Zeit nach dem 1. Januar 2018 nicht mit überwiegender Wahr- scheinlichkeit nachgewiesen sei". In der Beschwerdebegründung macht der Beschwerdeführer aber we- der geltend, die Vorinstanz habe die Beweislast falsch verteilt, noch Seite 5</w:t>
      </w:r>
    </w:p>
    <w:p>
      <w:r>
        <w:t>bringt er vor, sie habe ihrer Beurteilung ein falsches Beweismass zu- grunde gelegt. Die entsprechenden vorinstanzlichen Erwägungen sind denn auch nicht zu beanstanden (siehe BGE 141 III 241 E. 3.1). In der Sache greift der Beschwerdeführer einzig die Beweiswürdigung an. Damit ist aber der Rüge, die bundesrechtliche Beweisvorschrift von Art. 8 ZGB sei verletzt, von vornherein der Boden entzogen (vgl. Ur- teil 4A_637/2011 vom 24. November 2011 E. 2.1 mit Hinweisen).</w:t>
      </w:r>
    </w:p>
    <w:p>
      <w:r>
        <w:rPr>
          <w:b/>
        </w:rPr>
        <w:t>E. 3.3</w:t>
      </w:r>
    </w:p>
    <w:p>
      <w:r>
        <w:t>Der Beschwerdeführer stützt sich zur Begründung seiner Arbeits- unfähigkeit auf Berichte der behandelnden Psychiaterin Dr. med. D.________. Das Sozialversicherungsgericht legte diese Gutachten ihrer Beweiswürdigung zugrunde, ohne im Einzelnen die Frage zu the- matisieren, ob sie überhaupt ein zulässiges Beweismittel darstellen (vgl. auch BGE 141 III 433 E. 2.6). Darauf braucht auch vorliegend nicht eingegangen zu werden. Denn der Beschwerdeführer zeigt ohne- hin nicht hinreichend auf, inwiefern die vorinstanzliche Würdigung der Beweise offensichtlich unhaltbar wäre (siehe Erwägungen 2.2 f.): So stellt er dem – im Einzelnen begründeten – Schluss der Vorinstanz, an den Einschätzungen von Dr. med. D.________ bestünden erheb- liche Zweifel und diese seien nicht schlüssig, einzig die Aussage ent- gegen, Dr. med. D.________ habe "stets kohärent und schlüssig den Krankheitsverlauf des Beschwerdeführers dargelegt" und "anhand von Arztzeugnissen belegt", dass die Arbeitsunfähigkeit über den 1. Ja- nuar 2018 hinausgehe. Mit diesen – ohne jeden Bezug zu konkreten Gutachten und ohne Aktenhinweise vorgetragenen – Behauptungen setzt der Beschwerdeführer den vorinstanzlichen Erwägungen seine eigene Interpretation der ärztlichen Beurteilungen entgegen, ohne aber aufzuzeigen, inwiefern die erheblichen Zweifel der Vorinstanz an der Richtigkeit der Gutachten von Dr. med. D.________ unberechtigt sein sollen. Im Übrigen beschränkt er sich im Wesentlichen darauf, die Glaubwür- digkeit der Beurteilungen von Dr. med. C.________ und Dr. med. E.________ in Frage zu ziehen. Er schliesst, diese seien "nicht ge- eignet, um begründete Zweifel an der attestierten Arbeitsunfähigkeit durch Dr. med. D.________ zu wecken". Überhaupt scheint den Aus- führungen des Beschwerdeführers der Gedanke zugrunde zu liegen, die Vorinstanz habe den Gutachten von Dr. med. C.________ und Dr. med. E.________ "einen höheren Beweiswert" als den Berichten von Dr. med. D.________ zugestanden. Dies trifft indes nicht zu. Das Sozialversicherungsgericht gelangte vielmehr zum Ergebnis, allein gestützt auf die Einschätzungen der behandelnden Psychiaterin Seite 6</w:t>
      </w:r>
    </w:p>
    <w:p>
      <w:r>
        <w:t>Dr. med. D.________ sei der Beweis einer über den 31. Dezember 2017 hinausgehenden Arbeitsunfähigkeit nicht erbracht. Diesen Schluss weist der Beschwerdeführer nicht als willkürlich aus. Soweit er auf ein Arztzeugnis von Dr. med. F.________ vom 30. August 2017 verweist, das ihm eine Arbeitsunfähigkeit attestiere und das die Vorinstanz "völlig aussen vor" lasse, übergeht er, dass sich dieses nur auf den Zeitraum vom 7. bis 15. August 2017 bezieht.</w:t>
      </w:r>
    </w:p>
    <w:p>
      <w:r>
        <w:rPr>
          <w:b/>
        </w:rPr>
        <w:t>E. 3.4</w:t>
      </w:r>
    </w:p>
    <w:p>
      <w:r>
        <w:t>Die Feststellung der Vorinstanz, die Arbeitsunfähigkeit des Be- schwerdeführers sei für die Zeit nach dem 31. Dezember 2017 nicht mehr erstellt, ist unter Willkürgesichtspunkten folglich nicht zu bean- standen.</w:t>
      </w:r>
    </w:p>
    <w:p>
      <w:r>
        <w:rPr>
          <w:b/>
        </w:rPr>
        <w:t>E. 4</w:t>
      </w:r>
    </w:p>
    <w:p>
      <w:r>
        <w:t>Der Beschwerdeführer moniert weiter, die Vorinstanz habe Art. 61 VVG und die "Untersuchungsmaxime" verletzt, weil sie ihm nicht eine "angemessene" Übergangsfrist "von mehreren Monaten" angesetzt beziehungsweise sich "nicht weiter mit der Frage der Übergangsfrist" auseinandergesetzt habe.</w:t>
      </w:r>
    </w:p>
    <w:p>
      <w:r>
        <w:rPr>
          <w:b/>
        </w:rPr>
        <w:t>E. 4.1</w:t>
      </w:r>
    </w:p>
    <w:p>
      <w:r>
        <w:t>Nach Art. 61 Abs. 1 Satz 1 VVG ist der Anspruchsberechtigte verpflichtet, nach Eintritt des befürchteten Ereignisses tunlichst für Minderung des Schadens zu sorgen. Zur Erfüllung der Schadenminde- rungsobliegenheit kann insbesondere die Wiederaufnahme der Berufs- tätigkeit notwendig sein. Nach der Rechtsprechung ist dabei als Aus- druck des Grundsatzes von Treu und Glauben von einem Versicherer, der einem Versicherten zunächst Taggelder ausrichtet, dann jedoch davon ausgeht, dessen Arbeitsunfähigkeit sei beendet, zu erwarten, dass er den Versicherten darüber informiert und er die Leistungen während der Frist weiterzahlt, welche zur tatsächlichen Wiederauf- nahme der Berufstätigkeit erforderlich ist (Urteile 4A_79/2012 vom 27. August 2012 E. 5.1; 4A_111/2010 vom 12. Juli 2010 E. 3.1). Diese Rechtsprechung bezieht sich in erster Linie auf Berufswechsel und hat zum Ziel, dem Versicherten Zeit zu verschaffen, um sich anzupassen und eine neue Stelle zu finden (Urteile 4A_384/2019 vom 9. Dezember 2019 E. 5.3; 4A_73/2019 vom 29. Juli 2019 E. 3.3.3).</w:t>
      </w:r>
    </w:p>
    <w:p>
      <w:r>
        <w:rPr>
          <w:b/>
        </w:rPr>
        <w:t>E. 4.2</w:t>
      </w:r>
    </w:p>
    <w:p>
      <w:r>
        <w:t>Die Vorinstanz beanstandete die mit Schreiben vom 18. Dezem- ber 2017 mitgeteilte Einstellung der Taggeldleistungen per 31. Dezem- ber 2017 auch unter diesem Gesichtspunkt nicht. Sie begründete dies damit, dass der Beschwerdeführer seit der am 30. Mai 2017 (per 31. Oktober 2017) ausgesprochenen Kündigung gewusst habe, dass er sich um eine neue Anstellung zu bemühen habe. Auch sei aufgrund Seite 7</w:t>
      </w:r>
    </w:p>
    <w:p>
      <w:r>
        <w:t>der bloss arbeitsplatzbezogenen Arbeitsunfähigkeit ein Berufswechsel medizinisch nicht indiziert gewesen. Vor diesem Hintergrund erübrige sich die Frage, ob die Beschwerdegegnerin eine (längere) Übergangs- frist hätte ansetzen müssen.</w:t>
      </w:r>
    </w:p>
    <w:p>
      <w:r>
        <w:rPr>
          <w:b/>
        </w:rPr>
        <w:t>E. 4.3</w:t>
      </w:r>
    </w:p>
    <w:p>
      <w:r>
        <w:t>Der Beschwerdeführer kritisiert zwar, eine Übergangsfrist von zwei Wochen – "erst noch über die Festtage" – sei zu kurz bemessen. Diese Kritik genügt den Begründungsanforderungen im bundesgericht- lichen Verfahren (siehe Erwägung 2.1) indes nicht. Nachdem die Ob- liegenheit des Versicherers, dem Versicherten eine angemessene Übergangsfrist einzuräumen, ihre Grundlage in Art. 2 Abs. 1 ZGB fin- det, hätte der Beschwerdeführer darlegen müssen, weshalb es unter den konkreten Umständen treuwidrig wäre, ihm per Datum der Einstel- lung der Taggeldleistungen eine Wiederaufnahme der Berufstätigkeit zuzumuten (siehe auch Urteil 4A_384/2019 vom 9. Dezember 2019 E. 5.4.3). Dies unterlässt er. Allein mit der Behauptung, dass der Be- schwerdeführer mit seiner Frau, die zusammen mit ihm arbeitslos ge- worden sei, trotz Arbeitsunfähigkeit auf dem Areal der Arbeitgeberin gelebt habe und "dem ganzen arbeitsmässigen Umfeld weiterhin aus- gesetzt" gewesen sei, lässt sich die Notwendigkeit einer (längeren) Übergangsfrist im Sinne von Art. 61 VVG nicht begründen. Zu Recht wies die Vorinstanz im Übrigen darauf hin, dass sich vorliegend die Frage eines Berufswechsels nicht stelle. Ebenso unzureichend begründet ist die Kritik, das Sozialversiche- rungsgericht habe die Untersuchungsmaxime (vgl. Art. 247 Abs. 2 lit. a ZPO in Verbindung mit Art. 243 Abs. 2 lit. f ZPO) verletzt. Im blossen Umstand, dass die Vorinstanz die mit Art. 61 VVG im Zusammenhang stehenden Obliegenheiten der Parteien rechtlich anders als der Be- schwerdeführer beurteilt, liegt jedenfalls kein Verstoss gegen diesen Grundsatz vor. Dies ist indes der einzige Vorwurf, der sich der Be- schwerdebegründung diesbezüglich entnehmen lässt.</w:t>
      </w:r>
    </w:p>
    <w:p>
      <w:r>
        <w:rPr>
          <w:b/>
        </w:rPr>
        <w:t>E. 4.4</w:t>
      </w:r>
    </w:p>
    <w:p>
      <w:r>
        <w:t>Es gelingt dem Beschwerdeführer daher auch in diesem Punkt nicht, das angefochtene Urteil als bundesrechtswidrig auszuweisen.</w:t>
      </w:r>
    </w:p>
    <w:p>
      <w:r>
        <w:rPr>
          <w:b/>
        </w:rPr>
        <w:t>E. 5</w:t>
      </w:r>
    </w:p>
    <w:p>
      <w:r>
        <w:t>Die Beschwerde ist abzuweisen, soweit darauf eingetreten werden kann. Bei diesem Ausgang des Verfahrens wird der Beschwerdeführer kostenpflichtig (Art. 66 Abs. 1 BGG). Die Beschwerdegegnerin hat sich durch ihren eigenen Rechtsdienst vernehmen lassen. Praxisgemäss ist daher keine Parteientschädigung zuzusprechen.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