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20200402_d_ch_b_01 vom 2. April 2020</w:t>
      </w:r>
    </w:p>
    <w:p>
      <w:r>
        <w:t>FINMA Versicherungsrecht, 2020-04-02, DE</w:t>
      </w:r>
    </w:p>
    <w:p>
      <w:r>
        <w:rPr>
          <w:b/>
        </w:rPr>
        <w:t xml:space="preserve">Quelle: </w:t>
      </w:r>
      <w:r>
        <w:t>https://mcp.opencaselaw.ch/entscheid/finma_versicherungsrecht_20200402_d_ch_b_01</w:t>
      </w:r>
    </w:p>
    <w:p>
      <w:r>
        <w:t>FR: FINMA_VERSICHERUNGSRECHT 20200402_d_ch_b_01 du 2 avril 2020</w:t>
      </w:r>
    </w:p>
    <w:p>
      <w:r>
        <w:t>IT: FINMA_VERSICHERUNGSRECHT 20200402_d_ch_b_01 del 2 aprile 2020</w:t>
      </w:r>
    </w:p>
    <w:p>
      <w:pPr>
        <w:pStyle w:val="Heading2"/>
      </w:pPr>
      <w:r>
        <w:t>Erwägungen</w:t>
      </w:r>
    </w:p>
    <w:p>
      <w:r>
        <w:rPr>
          <w:b/>
        </w:rPr>
        <w:t>E. 1.1</w:t>
      </w:r>
    </w:p>
    <w:p>
      <w:r>
        <w:t>Zu beurteilen ist die Leistungspflicht aus einer Zusatzversicherung zur sozialen Krankenversicherung. Derartige Zusatzversicherungen unterstehen gemäss den einschlägigen gesetzlichen Bestimmungen (aArt. 12 Abs. 2 und 3 des Bundesgesetzes vom 18. März 1994 über die Krankenversicherung [AS 1995 1331]; seit 1. Januar 2016: Art. 2 Abs. 2 des Bundesgesetzes vom 26. September 2014 betreffend die Seite 3</w:t>
      </w:r>
    </w:p>
    <w:p>
      <w:r>
        <w:t>Aufsicht über die soziale Krankenversicherung; Krankenversiche- rungsaufsichtsgesetz [KVAG; SR 832.12]) dem Bundesgesetz vom</w:t>
      </w:r>
    </w:p>
    <w:p>
      <w:r>
        <w:rPr>
          <w:b/>
        </w:rPr>
        <w:t>E. 1.2</w:t>
      </w:r>
    </w:p>
    <w:p>
      <w:r>
        <w:t>Das Versicherungsgericht des Kantons St. Gallen entscheidet ge- mäss Art. 9 des Einführungsgesetzes zur Schweizerischen Zivilpro- zessordnung vom 15. Juni 2010 (EG-ZPO/SG; sGS 961.2) als einzige kantonale Instanz gemäss Art. 7 ZPO Streitigkeiten aus Zusatzversi- cherungen zur sozialen Krankenversicherung (vgl. BGE 138 III 2). Das Gericht hat im angefochtenen Entscheid die Klage der Beschwerde- gegnerin teilweise gutgeheissen (Art. 90 BGG), das Streitwerterfor- dernis gilt nicht (Art. 74 Abs. 2 lit. b BGG; BGE 138 III 2 E. 1.2.2 S. 5), der Beschwerdeführer unterlag mit seinen Anträgen zum grössten Teil (Art. 76 Abs. 1 BGG), und die Beschwerdefrist ist eingehalten (Art. 100 BGG). Auf die Beschwerde ist – unter Vorbehalt einer genügenden Begründung (vgl. E. 2 hiernach) – einzutreten.</w:t>
      </w:r>
    </w:p>
    <w:p>
      <w:r>
        <w:rPr>
          <w:b/>
        </w:rPr>
        <w:t>E. 2</w:t>
      </w:r>
    </w:p>
    <w:p>
      <w:r>
        <w:t>April 1908 über den Versicherungsvertrag (Versicherungsvertrags- gesetz, VVG; SR 221.229.1). Streitigkeiten aus solchen Versicherun- gen sind privatrechtlicher Natur, weshalb als Rechtsmittel an das Bun- desgericht die Beschwerde in Zivilsachen gemäss Art. 72 ff. BGG in Betracht kommt (BGE 138 III 2 E. 1.1 S. 3; 133 III 439 E. 2.1 S. 441 f. mit Hinweis).</w:t>
      </w:r>
    </w:p>
    <w:p>
      <w:r>
        <w:rPr>
          <w:b/>
        </w:rPr>
        <w:t>E. 2.1</w:t>
      </w:r>
    </w:p>
    <w:p>
      <w:r>
        <w:t>Das Bundesgericht wendet das Recht von Amtes wegen an (Art. 106 Abs. 1 BGG; vgl. dazu BGE 132 II 257 E. 2.5 S. 262; 130 III 136 E. 1.4 S. 140). Allerdings prüft es, unter Berücksichtigung der allgemeinen Begründungsanforderungen (Art. 42 Abs. 1 und 2 BGG), grundsätzlich nur die geltend gemachten Rügen, sofern die rechtlichen Mängel nicht geradezu offensichtlich sind. Die Beschwerde ist hinrei- chend zu begründen, andernfalls wird darauf nicht eingetreten. Uner- lässlich ist im Hinblick auf Art. 42 Abs. 2 BGG,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 lerhaft erachteten Erwägungen der Vorinstanz ansetzen (vgl. BGE 140 III 86 E. 2 S. 88 f., 115 E. 2 S. 116).</w:t>
      </w:r>
    </w:p>
    <w:p>
      <w:r>
        <w:rPr>
          <w:b/>
        </w:rPr>
        <w:t>E. 2.2</w:t>
      </w:r>
    </w:p>
    <w:p>
      <w:r>
        <w:t>Das Bundesgericht legt seinem Urteil den Sachverhalt zugrunde, den die Vorinstanz festgestellt hat (Art. 105 Abs. 1 BGG). Dazu gehö- ren sowohl die Feststellungen über den Lebenssachverhalt, der dem Streitgegenstand zugrunde liegt, als auch jene über den Ablauf des Seite 4</w:t>
      </w:r>
    </w:p>
    <w:p>
      <w:r>
        <w:t>vorinstanzlichen Verfahrens, also die Feststellungen über den Pro- zesssachverhalt. Zum Prozesssachverhalt gehören namentlich die An- träge der Parteien, ihre Tatsachenbehauptungen, rechtlichen Erör- terungen, Prozesserklärungen und Beweisvorbringen (BGE 140 III 16 E. 1.3.1 S. 17 f. mit Hinweisen). Das Bundesgericht kann die Sachver- haltsfeststellung der Vorinstanz nur berichtigen oder ergänzen, wenn sie offensichtlich unrichtig ist oder auf einer Rechtsverletzung im Sin- ne von Art. 95 BGG beruht (Art. 105 Abs. 2 BGG). "Offensichtlich un- richtig" bedeutet dabei "willkürlich" (BGE 140 III 115 E. 2 S. 117, 264 E. 2.3 S. 266). Überdies muss die Behebung des Mangels für den Ausgang des Verfahrens entscheidend sein können (Art. 97 Abs. 1 BGG). Die Partei, welche die Sachverhaltsfeststellungen der Vorinstanz an- fechten will, muss klar und substanziiert aufzeigen, inwiefern die ge- rügten Feststellungen offensichtlich unrichtig sind oder auf einer Rechtsverletzung im Sinne von Art. 95 BGG beruhen (vgl. BGE 140 III 16 E. 1.3.1 S. 18 mit Hinweisen). Soweit die beschwerdeführende Partei den Sachverhalt ergänzen will, hat sie zudem mit Aktenhinwei- sen darzulegen, dass sie entsprechende rechtsrelevante Tatsachen und taugliche Beweismittel bereits bei den Vorinstanzen prozesskon- form eingebracht hat (BGE 140 III 86 E. 2 S. 90). Genügt die Kritik diesen Anforderungen nicht, können Vorbringen mit Bezug auf einen Sachverhalt, der vom angefochtenen Entscheid abweicht, nicht be- rücksichtigt werden (BGE 140 III 16 E. 1.3.1 S. 18).</w:t>
      </w:r>
    </w:p>
    <w:p>
      <w:r>
        <w:rPr>
          <w:b/>
        </w:rPr>
        <w:t>E. 3</w:t>
      </w:r>
    </w:p>
    <w:p>
      <w:r>
        <w:t>Der Beschwerdeführer macht geltend, der Versicherungsvertrag sei als Summenversicherung und nicht als Schadenversicherung auszule- gen.</w:t>
      </w:r>
    </w:p>
    <w:p>
      <w:r>
        <w:rPr>
          <w:b/>
        </w:rPr>
        <w:t>E. 3.1</w:t>
      </w:r>
    </w:p>
    <w:p>
      <w:r>
        <w:t>Für das Zustandekommen und die Auslegung einer Vereinbarung ist zunächst massgebend, was die Parteien tatsächlich übereinstim- mend gewollt haben. Die empirische oder subjektive hat gegenüber der normativen oder objektivierten Vertragsauslegung den Vorrang (BGE 144 III 93 E. 5.2.2 S. 98; 135 III 410 E. 3.2 S. 412; 132 III 626 E. 3.1 S. 632). Erst wenn der übereinstimmende wirkliche Wille der Parteien unbewiesen bleibt, sind die Erklärungen der Parteien auf- grund des Vertrauensprinzips so auszulegen, wie sie nach ihrem Wort- laut und Zusammenhang sowie den gesamten Umständen verstanden werden durften und mussten. Dabei ist vom Wortlaut der Erklärungen auszugehen, welche jedoch nicht isoliert, sondern aus ihrem konkre- ten Sinngefüge heraus zu beurteilen sind (BGE 138 III 659 E. 4.2.1 Seite 5</w:t>
      </w:r>
    </w:p>
    <w:p>
      <w:r>
        <w:t>S. 666; 123 III 165 E. 3a S. 168). Ein objektivierter und damit rechtli- cher Konsens bedeutet nicht zwingend, dass die sich äussernde Partei tatsächlich den inneren Willen hatte, sich zu binden; es reicht, wenn die andere Partei aufgrund des objektiv verstandenen Sinns der Erklä- rung oder des Verhaltens nach Treu und Glauben annehmen konnte, die sich äussernde Partei habe einen Rechtsbindungswillen (BGE 144 III 93 E. 5.2 S. 99 mit Hinweis; vgl. auch BGE 143 III 157 E. 1.2.2 S. 159). Das Bundesgericht überprüft diese objektivierte Auslegung von Willenserklärungen als Rechtsfrage, wobei es an Feststellungen des kantonalen Gerichts über die äusseren Umstände sowie das Wis- sen und Wollen der Beteiligten grundsätzlich gebunden ist (vgl. E. 2.2 hiervor). Die allgemeinen Bedingungen eines Versicherungsvertrags werden nach den gleichen Grundsätzen ausgelegt wie andere Vertragsbestim- mungen (BGE 142 III 671 E. 3.3 S. 675; 135 III 1 E. 2 S. 6; je mit Hin- weisen). Entscheidend ist demnach in erster Linie der übereinstim- mende wirkliche Wille der Vertragsparteien und in zweiter Linie, falls ein solcher nicht festgestellt werden kann, die Auslegung der Erklärun- gen der Parteien nach dem Vertrauensprinzip (BGE 142 III 671 E. 3.3 S. 675; 140 III 391 E. 2.3 S. 398; je mit Hinweisen). Mehrdeutige Klau- seln in allgemeinen Versicherungsbedingungen sind nach der Unklar- heitenregel gegen den Versicherer als deren Verfasser auszulegen (BGE 133 III 61 E. 2.2.2.3 S. 69, 607 E. 2.2 S. 610; 124 III 155 E. 1b S. 158). Sie gelangt jedoch nur zur Anwendung, wenn sämtliche übri- gen Auslegungsmittel versagen (BGE 133 III 61 E. 2.2.2.3 S. 69; 122 III 118 E. 2a S. 121 und 2d S. 124; Urteile 4A_650/2017 vom 30. Juli 2018 E. 3.3.1; 4A_327/2015 vom 9. Februar 2016 E. 2.2.1, nicht publ. in BGE 142 III 91).</w:t>
      </w:r>
    </w:p>
    <w:p>
      <w:r>
        <w:rPr>
          <w:b/>
        </w:rPr>
        <w:t>E. 3.2</w:t>
      </w:r>
    </w:p>
    <w:p>
      <w:r>
        <w:t>Im Gegensatz zur Schadenversicherung ist bei der Summenversi- cherung die Leistung beim Eintritt des Versicherungsfalls unabhängig davon geschuldet, ob der Versicherte effektiv einen Schaden erlitten hat (BGE 133 III 527 E. 3.2.4 S. 532 f.; 119 II 361 E. 4 S. 364 f.; 104 II 44 E. 4c f. S. 49 ff.; Urteile 4A_38/2015 vom 25. Juni 2015 E. 3.2; 4A_642/2014 vom 29. April 2015 E. 2; 5C.21/2007 vom 20. April 2007 E. 3).</w:t>
      </w:r>
    </w:p>
    <w:p>
      <w:r>
        <w:rPr>
          <w:b/>
        </w:rPr>
        <w:t>E. 3.3</w:t>
      </w:r>
    </w:p>
    <w:p>
      <w:r>
        <w:t>Die Vorinstanz erwog, aus den Allgemeinen Versicherungsbedin- gungen (AVB) sei ersichtlich, dass das effektiv erzielte Einkommen eine Rolle spiele. Denn gemäss Ziff. 33.1 AVB stelle die Versicherung dem Versicherungsnehmer jeweils Ende Jahr ein Lohnsummendekla- rationsformular zu, welches er ausgefüllt zurückzusenden habe. Die Seite 6</w:t>
      </w:r>
    </w:p>
    <w:p>
      <w:r>
        <w:t>Versicherung erstelle dann die endgültige Prämienberechnung für das vorangegangene Jahr. Gemäss Ziff. 33.2 AVB würden die Prämien durch Einschätzung festgesetzt, wenn der Versicherungsnehmer seine Deklarationspflicht verletze. Stelle sich später heraus, dass dadurch Prämien entgangen seien, schulde der Versicherungsnehmer neben dem Differenzbetrag einen Verzugszins. Gemäss Ziff. 33.3 AVB habe die Versicherung das Recht auf jederzeitige Einsicht in die Lohnbuch- haltung des Versicherungsnehmers. Unwahre Angaben in der Lohn- deklaration berechtigten die Versicherung, vorzeitig vom Vertrag zurückzutreten. Die Vorinstanz erwog, zwar stehe Ziff. 33 AVB in Zusammenhang mit der Erhebung der Prämien, doch indiziere sie gleichwohl, dass die Versicherung nicht zwingend auf einer starren Lohnsumme beruhe. Es möge zutreffen, dass die Beschwerdegegne- rin die Prämien nicht an den Verdienst des Beschwerdeführers ange- passt habe. Doch bedeute dies nicht zwingend eine Summenversiche- rung. Vielmehr könne es auch einer fehlerhaften Durchführung der Versicherung geschuldet sein. Dass das tatsächlich erzielte Einkom- men des Beschwerdeführers relevant gewesen sei, komme auch dadurch zum Ausdruck, dass er der Beschwerdegegnerin eine Zusam- menstellung seiner Einnahmen der Jahre 2009 und 2010 habe zukom- men lassen. Als besonders bedeutsames Indiz für eine Schadenversicherung wer- tete die Vorinstanz Ziff. 21.1 AVB, wonach nur in dem Masse An- spruch auf Taggeldleistungen bestehe, als der versicherten Person kein Versicherungsgewinn erwachse. Gemäss Ziff. 21.2 AVB gälten als Versicherungsgewinn alle Leistungen, welche die volle Deckung des Erwerbsausfalls der versicherten Person überstiegen. Ausgenom- men davon seien Leistungen von Summenversicherungen. Gemäss Ziff. 21.3 AVB habe die versicherte Person den Nachweis von Er- werbsausfall zu erbringen, ansonsten kein Anspruch auf Taggeldleis- tungen bestehe. Ob die Beschwerdegegnerin den Nachweis des Er- werbsausfalls tatsächlich verlangt habe, lasse keine zwingenden Rückschlüsse auf die Natur der Versicherung zu. Ohnehin habe der Beschwerdeführer Zusammenstellungen der Einnahmen eingereicht. Zudem sehe Ziff. 22.2 AVB vor, dass Leistungen für Selbständiger- werbende, Betriebsinhaber und deren Familienmitglieder, die nicht in der Lohnbuchhaltung aufgeführt seien, im Nachgang zu sozialen Ver- sicherungen erbracht würden. Würde es sich um eine Summenversi- cherung handeln, wäre diese Bestimmung nicht passend, da die Tag- geldleistungen grundsätzlich kumulativ zu anderen Versicherungsleis- tungen zu entrichten wären. Seite 7</w:t>
      </w:r>
    </w:p>
    <w:p>
      <w:r>
        <w:rPr>
          <w:b/>
        </w:rPr>
        <w:t>E. 3.4</w:t>
      </w:r>
    </w:p>
    <w:p>
      <w:r>
        <w:t>Die vorinstanzliche Vertragsauslegung verstösst nicht gegen Bun- desrecht:</w:t>
      </w:r>
    </w:p>
    <w:p>
      <w:r>
        <w:rPr>
          <w:b/>
        </w:rPr>
        <w:t>E. 3.4.1</w:t>
      </w:r>
    </w:p>
    <w:p>
      <w:r>
        <w:t>Die Vorinstanz übersah nicht, dass auch Merkmale einer Sum- menversicherung vorliegen. So berücksichtigte sie, dass die mass- gebende Police vom 22. Oktober 2002 eine feste Lohnsumme enthält. Sie beachtete auch Ziff. 6.2 AVB, wonach der Versicherungsabschluss bei Selbständigerwerbenden, Betriebsinhabern und deren Familienmit- gliedern mit festen Jahreslohnsummen erfolgt, sofern diese nicht in der Lohnbuchhaltung aufgeführt sind.</w:t>
      </w:r>
    </w:p>
    <w:p>
      <w:r>
        <w:rPr>
          <w:b/>
        </w:rPr>
        <w:t>E. 3.4.2</w:t>
      </w:r>
    </w:p>
    <w:p>
      <w:r>
        <w:t>Dass die Vorinstanz die Argumente für eine Schadenversiche- rung stärker gewichtete, ist nicht zu beanstanden. Sie durfte nament- lich Ziff. 33 AVB als erhebliches Indiz würdigen, zumal das dort geregelte Verfahren der Lohnsummendeklaration bei einer Summen- versicherung sinnlos wäre. Der Beschwerdeführer bringt zu Recht vor, dass die Beschwerdegegnerin nicht konsequent auf der Lohnsummen- deklaration gemäss Ziff. 33 AVB bestand. Doch dies entkräftet nicht die vorinstanzliche Erwägung, wonach denkbar ist, dass die Versiche- rung fehlerhaft durchgeführt wurde.</w:t>
      </w:r>
    </w:p>
    <w:p>
      <w:r>
        <w:rPr>
          <w:b/>
        </w:rPr>
        <w:t>E. 3.4.3</w:t>
      </w:r>
    </w:p>
    <w:p>
      <w:r>
        <w:t>Wie der Beschwerdeführer zutreffend vorbringt, wurde ihm am 9. Dezember 2011 und damit nach dem Schadensfall eine neue Offer- te zugestellt. In der Tat ist darin nicht mehr von einer festen Lohnsum- me die Rede, sondern lediglich von versichertem Erwerbseinkommen. Dem Beschwerdeführer ist beizupflichten, dass die neue Police deutli- cher für eine Schadenversicherung spricht. Doch schliesst dies nicht aus, dass die Vorinstanz auch die alte Police vom 22. Oktober 2002 als Schadenversicherung auslegen durfte.</w:t>
      </w:r>
    </w:p>
    <w:p>
      <w:r>
        <w:rPr>
          <w:b/>
        </w:rPr>
        <w:t>E. 3.4.4</w:t>
      </w:r>
    </w:p>
    <w:p>
      <w:r>
        <w:t>Der Beschwerdeführer will Ziff. 21 AVB so verstanden wissen, dass Ziff. 21.1 AVB und Ziff. 21.2 erster Satz AVB zur Anwendung gelangen, wenn eine Police als Schadenversicherung ausgestaltet ist, während Ziff. 21.2 zweiter Satz AVB einschlägig ist, wenn eine Sum- menversicherung vorliegt. Deutlich überzeugender erscheint hier die vorinstanzliche Lesart, wonach Ziff. 21.1 AVB einen Versicherungsge- winn ausschliesst und Ziff. 21.2 AVB diesen definiert.</w:t>
      </w:r>
    </w:p>
    <w:p>
      <w:r>
        <w:rPr>
          <w:b/>
        </w:rPr>
        <w:t>E. 3.4.5</w:t>
      </w:r>
    </w:p>
    <w:p>
      <w:r>
        <w:t>Ziff. 13 AVB, auf die sich der Beschwerdeführer beruft, ist nicht isoliert zu betrachten. Es mag zutreffen, dass unter dem Titel "Leis- tungsvoraussetzungen" nur vom Nachweis einer Arbeitsunfähigkeit und nicht auch von einem Erwerbsausfall die Rede ist. Für sich allein betrachtet spricht dies tatsächlich für eine Summenversicherung. Doch Seite 8</w:t>
      </w:r>
    </w:p>
    <w:p>
      <w:r>
        <w:t>übergeht der Beschwerdeführer, dass Ziff. 21 AVB einen Versiche- rungsgewinn ausschliesst und Ziff. 33 ein Verfahren zur Lohnsummen- deklaration enthält.</w:t>
      </w:r>
    </w:p>
    <w:p>
      <w:r>
        <w:rPr>
          <w:b/>
        </w:rPr>
        <w:t>E. 3.5</w:t>
      </w:r>
    </w:p>
    <w:p>
      <w:r>
        <w:t>Die Rügen erweisen sich als unbegründet.</w:t>
      </w:r>
    </w:p>
    <w:p>
      <w:r>
        <w:rPr>
          <w:b/>
        </w:rPr>
        <w:t>E. 4</w:t>
      </w:r>
    </w:p>
    <w:p>
      <w:r>
        <w:t>Nach dem Gesagten ist die Beschwerde abzuweisen. Das Gesuch um unentgeltliche Rechtspflege für das bundesgerichtliche Verfahren ist abzuweisen, weil die Beschwerde als von vornherein aussichtslos er- schien (Art. 64 Abs. 1 BGG). Darüber musste unter den gegebenen Umständen nicht vorgängig separat entschieden werden (vgl. Urteile 4A_429/2019 vom 13. November 2019 E. 6; 4A_20/2011 vom 11. April 2011 E. 7.2.2). Bei diesem Ausgang sind die Gerichtskosten dem Be- schwerdeführer aufzuerlegen (Art. 66 Abs. 1 BGG). Der Beschwerde- gegnerin ist im bundesgerichtlichen Verfahren kein Aufwand erwach- sen, so dass keine Parteientschädigung geschuldet ist.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