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20191017_d_ch_b_01 vom 17. Oktober 2019</w:t>
      </w:r>
    </w:p>
    <w:p>
      <w:r>
        <w:t>FINMA Versicherungsrecht, 2019-10-17, DE</w:t>
      </w:r>
    </w:p>
    <w:p>
      <w:r>
        <w:rPr>
          <w:b/>
        </w:rPr>
        <w:t xml:space="preserve">Quelle: </w:t>
      </w:r>
      <w:r>
        <w:t>https://mcp.opencaselaw.ch/entscheid/finma_versicherungsrecht_20191017_d_ch_b_01</w:t>
      </w:r>
    </w:p>
    <w:p>
      <w:r>
        <w:t>FR: FINMA_VERSICHERUNGSRECHT 20191017_d_ch_b_01 du 17 octobre 2019</w:t>
      </w:r>
    </w:p>
    <w:p>
      <w:r>
        <w:t>IT: FINMA_VERSICHERUNGSRECHT 20191017_d_ch_b_01 del 17 ottobre 2019</w:t>
      </w:r>
    </w:p>
    <w:p>
      <w:pPr>
        <w:pStyle w:val="Heading2"/>
      </w:pPr>
      <w:r>
        <w:t>Erwägungen</w:t>
      </w:r>
    </w:p>
    <w:p>
      <w:r>
        <w:rPr>
          <w:b/>
        </w:rPr>
        <w:t>E. 1</w:t>
      </w:r>
    </w:p>
    <w:p>
      <w:r>
        <w:t>Die Sachurteilsvoraussetzungen sind erfüllt und geben zu keinen Be- merkungen Anlass. Unter Vorbehalt einer rechtsgenüglichen Begrün- dung (Art. 42 Abs. 2 und Art. 106 Abs. 2 BGG;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(BGE 134 II 244 E. 2.1). In der Beschwerdeschrift ist in gedrängter Form darzulegen, inwiefern der angefochtene Akt Recht verletzt (Art. 42 Abs. 2 BGG). Unerlässlich ist, dass die Beschwerde auf die Begründung des ange- fochtenen Entscheids eingeht und im Einzelnen aufzeigt, worin eine Seite 3</w:t>
      </w:r>
    </w:p>
    <w:p>
      <w:r>
        <w:t>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S. 89, 115 E. 2 S. 116). Macht die beschwerdeführende Partei eine Verletzung des Willkürver- bots von Art. 9 BV geltend, genügt es nicht, wenn sie einfach behaup- tet, der angefochtene Entscheid sei willkürlich (BGE 134 II 349 E. 3 S. 352;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 derläuft (BGE 140 III 16 E. 2.1; 139 III 334 E. 3.2.5 S. 339). Dass die von Sachgerichten gezogenen Schlüsse nicht mit der eigenen Darstel- lung der beschwerdeführenden Partei übereinstimmen, belegt keine Willkür (BGE 140 III 264 E. 2.3 S. 266 mit Hinweisen). Erforderlich ist zudem, dass der Entscheid nicht nur in der Begründung, sondern auch im Ergebnis willkürlich ist (BGE 140 III 16 E. 2.1 S. 19 mit Hinweisen).</w:t>
      </w:r>
    </w:p>
    <w:p>
      <w:r>
        <w:rPr>
          <w:b/>
        </w:rPr>
        <w:t>E. 2.2</w:t>
      </w:r>
    </w:p>
    <w:p>
      <w:r>
        <w:t>Die Beschwerde ist innert der Beschwerdefrist vollständig begrün- det einzureichen (vgl. Art. 42 Abs. 1 BGG). Vor Bundesgericht findet in der Regel nur ein Schriftenwechsel statt (Art. 102 Abs. 3 BGG). Kommt es zu einem zweiten Schriftenwechsel, darf die beschwerde- führende Partei die Replik nicht dazu verwenden, ihre Beschwerde zu ergänzen oder zu verbessern (BGE 134 IV 156 E. 1.7; 132 I 42 E. 3.3.4). Mit Rügen, welche die beschwerdeführende Partei bereits in der Beschwerde hätte erheben können, ist sie nach Ablauf der Be- schwerdefrist ausgeschlossen (BGE 135 I 19 E. 2.2; 134 IV 156 E. 1.7; 132 I 42 E. 3.3.4 mit Hinweisen). Die Replik ist nur zu Darle- gungen zu verwenden, zu denen die Ausführungen in der Vernehm- lassung eines anderen Verfahrensbeteiligten Anlass geben (vgl. BGE 135 I 19 E. 2.2). Soweit die Beschwerdeführerin in der Replik versucht, die Beschwer- deschrift zu ergänzen oder zu verbessern, ist sie nicht zu hören. Das gilt insbesondere bezüglich der Abschnitte "Vollmacht / Entgegennah- me der Kündigung" und "Verletzung der Anzeigepflicht".</w:t>
      </w:r>
    </w:p>
    <w:p>
      <w:r>
        <w:rPr>
          <w:b/>
        </w:rPr>
        <w:t>E. 2.3</w:t>
      </w:r>
    </w:p>
    <w:p>
      <w:r>
        <w:t>Das Bundesgericht legt seinem Urteil den Sachverhalt zugrunde, den die Vorinstanz festgestellt hat (Art. 105 Abs. 1 BGG). Dazu ge- Seite 4</w:t>
      </w:r>
    </w:p>
    <w:p>
      <w:r>
        <w:t>hören sowohl die Feststellungen über den streitgegenständlichen Lebenssachverhalt als auch jene über den Ablauf des vor- und erst- instanzlichen Verfahrens, also die Feststellungen über den Prozess- sachverhalt (BGE 140 III 16 E. 1.3.1 mit Hinweisen). Es kann die Sachverhaltsfeststellung der Vorinstanz nur berichtigen oder er- gänzen, wenn sie offensichtlich unrichtig ist oder auf einer Rechtsver- letzung im Sinne von Art. 95 BGG beruht (Art. 105 Abs. 2 BGG). "Offensichtlich unrichtig" bedeutet dabei "willkürlich" (BGE 140 III 115 E. 2 S. 117; 135 III 397 E. 1.5). Überdies muss die Behebung des Mangels für den Ausgang des Verfahrens entscheidend sein können (Art. 97 Abs. 1 BGG). Für eine Kritik am festgestellten Sachverhalt gilt das strenge Rügeprin- zip von Art. 106 Abs. 2 BGG (BGE 140 III 264 E. 2.3 S. 266 mit Hinweisen). Die Partei, welche die Sachverhaltsfeststellung der Vorin- stanz anfechten will, muss klar und substanziiert aufzeigen, inwiefern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Vor- bringen mit Bezug auf einen Sachverhalt, der vom angefochtenen Ent- scheid abweicht, nicht berücksichtigt werden (BGE 140 III 16 E. 1.3.1 S. 18). Die Beschwerdeführerin schildert ausführlich die Unterschiede ihrer Erkrankungen und deren Verlauf. Sie geht dabei mehrfach über den vorinstanzlich festgestellten Sachverhalt hinaus, ohne eine hinreichen- de Sachverhaltsrüge nach den gerade genannten Grundsätzen zu er- heben. Darauf kann sie sich im Folgenden nicht stützen. Das Gleiche gilt, wenn sie sich in der Beschwerdereplik auf die Diagnose aus dem Bericht der Klinik D.________ stützt und damit über den vorinstanzlich festgestellten Sachverhalt hinausgeht.</w:t>
      </w:r>
    </w:p>
    <w:p>
      <w:r>
        <w:rPr>
          <w:b/>
        </w:rPr>
        <w:t>E. 3.1</w:t>
      </w:r>
    </w:p>
    <w:p>
      <w:r>
        <w:t>Die Vorinstanz prüfte, ob die Beschwerdegegnerin die für den Zeitraum vom 13. Juni bis und mit 31. Dezember 2016 bereits ge- leisteten Krankentaggelder aufgrund einer vorvertraglichen Anzeige- pflichtverletzung der Beschwerdeführerin zurückfordern könne. Dafür klärte sie zunächst, ob die Beschwerdeführerin eine Anzeigepflicht- verletzung begangen habe. Dabei kam sie zum Schluss, dass die Be- schwerdeführerin die Fragen 2 – 5 auf dem Gesundheitsfragebogen Seite 5</w:t>
      </w:r>
    </w:p>
    <w:p>
      <w:r>
        <w:t>der Beschwerdegegnerin falsch beantwortet habe. Das stellt die Be- schwerdeführerin vor Bundesgericht nicht in Frage.</w:t>
      </w:r>
    </w:p>
    <w:p>
      <w:r>
        <w:rPr>
          <w:b/>
        </w:rPr>
        <w:t>E. 3.2</w:t>
      </w:r>
    </w:p>
    <w:p>
      <w:r>
        <w:t>Die Vorinstanz beurteilte anschliessend, ob die Kündigung des Versicherungsvertrags durch die Beschwerdegegnerin formell rechts- gültig und rechtzeitig erfolgt sei. Auch das bejahte sie. Dagegen beharrt die Beschwerdeführerin vor Bundesgericht auf ihrem bereits vor der Vorinstanz eingenommenen Standpunkt, dass ein Zu- stellungsmangel bezüglich der Kündigung vorliege. Ihr Rechtsvertre- ter, der sie vor der Vorinstanz vertreten habe, sei nicht zur Entgegen- nahme der Kündigung bevollmächtigt gewesen. Die Vorinstanz habe sodann das Urteil 4A_325/2010 vom 1. Oktober 2010 missverstanden, die konkreten Umstände des Einzelfalls ignoriert, den "Vertrauens- schutz" unrichtig angewandt und willkürlich entschieden. Diese Rügen gehen fehl: Die Vorinstanz stützte sich einleitend auf das genannte Bundesgerichtsurteil und erwog, dass eine unwiderrufene Vollmacht des Rechtsvertreters vorgelegen habe, sodass die Be- schwerdegegnerin grundsätzlich in guten Treuen habe annehmen dür- fen, dass dieser auch zur Entgegennahme von Erklärungen befugt sei. Inwiefern die Vorinstanz damit Bundesrecht verletzt hätte, legt die Beschwerdeführerin nicht hinreichend dar und ist auch nicht ersicht- lich. Entgegen der Auffassung der Beschwerdeführerin liess es die Vorin- stanz sodann weder bei diesen Ausführungen bewenden, noch igno- rierte sie die konkreten Umstände des vorliegenden Falls. Im Gegen- teil: Sie legte daran anschliessend im Einzelnen dar, aus welchen konkreten Gründen sich die Beschwerdegegnerin auf die Vollmacht verlassen durfte, und warum der Argumentation der Beschwerdefüh- rerin nicht gefolgt werden könne. Damit setzt sich die Beschwerde- führerin vor Bundesgericht nicht rechtsgenüglich auseinander (Erwä- gung 2.1), geschweige denn zeigt sie hinreichend auf, inwiefern die Vorinstanz diesbezüglich ihre Rechte verletzt haben soll.</w:t>
      </w:r>
    </w:p>
    <w:p>
      <w:r>
        <w:rPr>
          <w:b/>
        </w:rPr>
        <w:t>E. 4.1</w:t>
      </w:r>
    </w:p>
    <w:p>
      <w:r>
        <w:t>Die Vorinstanz erwog in der Folge, dass eine gestützt auf Art. 6 VVG ausgesprochene Kündigung ihre Rechtsfolgen grundsätzlich ex nunc zeitige, d.h. sie lasse den Versicherungsschutz und die Prämien- zahlungspflicht für die Zukunft erlöschen. Demgemäss hielt sie fest, dass die Versicherungsdeckung der Beschwerdeführerin per 3. Juli 2017 erloschen sei. Seite 6</w:t>
      </w:r>
    </w:p>
    <w:p>
      <w:r>
        <w:t>Zu prüfen bleibe, so die Vorinstanz, die Leistungspflicht der Beschwer- degegnerin im Zusammenhang mit der krankheitsbedingten Arbeitsun- fähigkeit, für welche sie bereits Taggelder ausgerichtet habe. Nach Art. 6 Abs. 3 VVG erlösche die Leistungspflicht des Versicherers für bereits eingetretene Schäden, deren Eintritt oder Umfang durch die nicht oder unrichtig angezeigte erhebliche Gefahrstatsache beeinflusst worden sei. Sei die Leistungspflicht schon erfüllt worden, habe der Versicherer nach Art. 6 Abs. 3 VGG Anspruch auf Rückerstattung, wenn der Schadenseintritt in einem klaren Konnex zur Anzeigepflicht- verletzung stehe. Nach bundesgerichtlicher Rechtsprechung sei der Kausalitätsbegriff, wie in er in Art. 6 Abs. 3 VVG stipuliert werde, weit zu verstehen. Danach sei es nicht erforderlich, dass die verschwie- gene Krankheit gleich diagnostiziert worden sei wie die während der Vertragsdauer aufgetretene. Entscheidend seien die psychopathologi- schen Befunde und der Schweregrad der Symptomatik bzw. die Not- wendigkeit einer Behandlung. Ein solcher Zusammenhang bestehe vorliegend: Den aktenkundigen medizinischen Berichten könne entnommen werden, dass bei der Be- schwerdeführerin sowohl 2010/2011 als auch 2016 ein Burnout vor- gelegen habe. So ergebe sich aus dem Bericht von Prof. Dr. E.________ vom 4. März 2011, dass bei der Beklagten "initial ein Er- schöpfungssyndrom im Sinne eines Burnout-Syndroms (ICD-10 Z73.0) bestanden" habe. Hierzu lege Prof. Dr. E.________ zwei Beilagen mit den Titeln "Das Burnout Syndrom" und "Burnout (Vortrag 10.9.2010)" bei. Im Bericht vom 23. Juni 2016 von Prof. Dr. E.________ werde un- ter den Diagnosen ein "Burnout-Syndrom mit schwerem Erschöpfungs- zustand" aufgeführt und in seinem Bericht vom 11. November 2016 bestätigt. Das Gleiche gelte für die bei der Beschwerdeführerin be- stehende Depressionsproblematik. Bereits im Bericht vom 4. März 2011 werde eine "mittelgradig depressive Störung mit somatischem Syndrom ICD-10 F32.11" genannt und im Bericht vom 23. Juni 2016 werde unter den Diagnosen eine "rezidivierende depressive Störung, gegenwärtig mittelgradige Episode" aufgeführt. Das in diesem Zusam- menhang verwendete Wort "rezidivierend" zeige deutlich, dass es sich um eine wiederkehrende Erkrankung handle und folglich ein Zusam- menhang zwischen den 2010/2011 und den 2016 aufgetretenen Be- schwerden bestehe. Ferner finde sich auch im Bericht der Klinik D.________ sowohl die Diagnose einer rezidivierenden depressiven Störung, gegenwärtig schwere Episode ohne psychotische Symptome (F33.2), als auch die Diagnose eines Burnout-Syndroms. Seite 7</w:t>
      </w:r>
    </w:p>
    <w:p>
      <w:r>
        <w:t>In Anbetracht dieser Ausführungen sei der Beschwerdegegnerin beizu- pflichten, dass die aktuellen psychischen Beschwerden der Beschwer- deführerin, welche bereits 2010/2011 eine Arbeitsunfähigkeit begrün- det hätten, einen Zusammenhang mit den Beschwerden und der Behandlung im Jahr 2016 aufwiesen. Die Arbeitsunfähigkeit der Be- schwerdeführerin wegen ihrer psychischen Erkrankung ab 13. Juni 2016 sei demnach durch die verschwiegene Gefahrtatsache (Arbeits- unfähigkeit wegen psychischer Erkrankung ab März 2010) nachweis- lich beeinflusst. Der Kausalzusammenhang zwischen den verschwie- genen, früheren psychischen Beschwerden und den nunmehr geltend gemachten depressiven Beschwerden, aufgrund welcher die Be- schwerdeführerin vom 13. Juli 2016 bis zum 31. Dezember 2016 von der Beschwerdegegnerin Taggelder beansprucht habe, sei zu beja- hen.</w:t>
      </w:r>
    </w:p>
    <w:p>
      <w:r>
        <w:rPr>
          <w:b/>
        </w:rPr>
        <w:t>E. 4.2.1</w:t>
      </w:r>
    </w:p>
    <w:p>
      <w:r>
        <w:t>Die Beschwerdeführerin bestreitet, dass zwischen der Erkran- kung im Jahre 2011 und derjenigen im Jahre 2016/2017 ein Zusam- menhang bestehe. Sie stützt sich dabei vor Bundesgericht auf neue Tatsachen und Be- weismittel. Sie habe nicht damit rechnen müssen, dass vor Vorinstanz ihren gestellten Beweisanträgen nicht Folge leistet werde. Erst der Entscheid der Vorinstanz habe Anlass dazu gegeben, das Vorbringen des fehlenden Kausalzusammenhangs mit noch weiteren, als den be- reits vor der Vorinstanz eingebrachten Beweisen zu belegen. Solche Noven seien "analog zu Art. 317 ZPO" zulässig, da erst die Vorbringen der Beschwerdegegnerin eine weitere Vertiefung der Kausalität der verschiedenen Erkrankungen als zwingend erscheinen liesse.</w:t>
      </w:r>
    </w:p>
    <w:p>
      <w:r>
        <w:rPr>
          <w:b/>
        </w:rPr>
        <w:t>E. 4.2.2</w:t>
      </w:r>
    </w:p>
    <w:p>
      <w:r>
        <w:t>Die postulierte Analogie zur Novenregelung im kantonalen Beru- fungsverfahren geht an der Sache vorbei. Ob neue Tatsachen und Be- weismittel vor Bundesgericht vorgebracht werden können, beurteilt sich einzig nach dem Bundesgerichtsgesetz und nicht nach der Zivil- prozessordnung. Nach Art. 99 Abs. 1 BGG dürfen vor Bundesgericht neue Tatsachen und Beweismittel nur soweit vorgebracht werden, als erst der Entscheid der Vorinstanz dazu Anlass gibt (BGE 136 III 123 E. 4.4.3 S. 129 mit Hinweisen), was in der Beschwerde näher darzu- legen ist (BGE 134 V 223 E. 2.2.1 S. 226; 133 III 393 E. 3 S. 395). Diesen Anforderungen genügt die Beschwerdeführerin nicht, denn sie legt nicht hinreichend dar, dass erst der angefochtene Entscheid der Vorinstanz zu ihren neuen Tatsachen und Beweismitteln Anlass Seite 8</w:t>
      </w:r>
    </w:p>
    <w:p>
      <w:r>
        <w:t>gegeben hat. Der Zusammenhang zwischen den beiden Erkrankungen ist nicht erst seit dem Urteil der Vorinstanz Prozessthema, sondern bil- dete von Anfang an Thema der Rückforderungsklage. Es handelt sich damit um unzulässige Noven, die im bundesgerichtlichen Verfahren nicht berücksichtigt werden können.</w:t>
      </w:r>
    </w:p>
    <w:p>
      <w:r>
        <w:rPr>
          <w:b/>
        </w:rPr>
        <w:t>E. 4.3.1</w:t>
      </w:r>
    </w:p>
    <w:p>
      <w:r>
        <w:t>Die Beschwerdeführerin moniert, die Vorinstanz handle willkür- lich und stellte den Sachverhalt nicht richtig fest, wenn sie aufgrund der festgestellten Symptome einen kausalen Zusammenhang erblicke, ohne die Ursachen der beiden Erkrankungen zu ergründen und zu würdigen. Zu diesem Zweck sei anlässlich der Klageantwort ein Exper- tengutachten zur Evaluation der Ursachen der Erkrankungen und da- mit des Kausalzusammenhangs beantragt worden. Im Rahmen der geltenden Untersuchungsmaxime hätte die Vorinstanz die Ursachen genauer abklären müssen. Dies sei trotz Antrag unter Verletzung der Untersuchungsmaxime unterlassen worden.</w:t>
      </w:r>
    </w:p>
    <w:p>
      <w:r>
        <w:rPr>
          <w:b/>
        </w:rPr>
        <w:t>E. 4.3.2</w:t>
      </w:r>
    </w:p>
    <w:p>
      <w:r>
        <w:t>Im vorinstanzlichen Sachverhalt ist nicht festgestellt, dass die Beschwerdeführerin zu den Ursachen der beiden Erkrankungen ein Gutachten beantragt hätte. Damit das Bundesgericht auf ihre Rüge eintreten könnte, hätte sie eine Ergänzung des Sachverhalts verlan- gen müssen. Dafür hätte sie mit präzisen Aktenhinweisen darlegen müssen, dass sie für die hier sich stellende Frage ein solches Gut- achten prozesskonform ins vorinstanzliche Verfahren eingebracht hät- te (dazu Erwägung 2.3). Dies zeigt sie nicht auf, sodass darauf nicht einzutreten ist. Da es an einem prozesskonformen Beweisantrag fehlt, erübrigt sich auch die Rüge der Verletzung der Untersuchungsma- xime, die sie darin erblickt, dass "trotz Antrag" die Ursachen nicht genauer abgeklärt worden seien. Im Übrigen wurde in den Berichten von Prof. Dr. E.________ und der Klinik D.________ unbestrittener- massen festgestellt, dass es sich bei der depressiven Störung der Be- schwerdeführerin um eine wiederkehrende Erkrankung handle. Der Vollständigkeit halber sei erwähnt, dass die Vorinstanz in anderem Zusammenhang, nämlich mit der von der Beschwerdeführerin began- genen Anzeigepflichtverletzung feststellte, dass die Beschwerdefüh- rerin eine Zeugenbefragung von Prof. Dr. E.________ und ein Sach- verständigengutachten beantragte habe. Die Vorinstanz ging dort aber ausführlich auf die verschiedenen bei den Akten befindlichen Urkunden ein und kam zu einem Beweisergebnis (vorinstanzlicher Entscheid E. 4.4.2 – 4.4.4). In antizipierter Beweiswürdigung verzich- tete die Vorinstanz daher auf die von der Beschwerdeführerin Seite 9</w:t>
      </w:r>
    </w:p>
    <w:p>
      <w:r>
        <w:t>beantragten Beweisabnahmen. Diese antizipierte Beweiswürdigung stellt die Beschwerdeführerin vor Bundesgericht nicht in Frage, zu- mindest nicht hinreichend (vgl. BGE 136 I 229 E. 5.3; 134 I 140 E. 5.3; 130 II 425 E. 2.1 mit Hinweisen).</w:t>
      </w:r>
    </w:p>
    <w:p>
      <w:r>
        <w:rPr>
          <w:b/>
        </w:rPr>
        <w:t>E. 4.4</w:t>
      </w:r>
    </w:p>
    <w:p>
      <w:r>
        <w:t>Die Beschwerdeführerin rügt, es sei willkürlich, dass sich die Vor- instanz bezüglich des Zusammenhangs zwischen den Krankheiten der Jahre 2010/2011 und 2016 lediglich auf den Arztbericht von Dr. F.________ der Klinik D.________ stütze. Dr. F.________ verfüge als Facharzt für Psychiatrie und Psychotherapie über keine vertieften Kenntnisse in Diabetologie. Mit diesen Ausführungen zeigt die Beschwerdeführerin nicht rechts- genüglich auf, inwiefern der Entscheid der Vorinstanz diesbezüglich offensichtlich unrichtig wäre (vgl. Erwägung 2.1), zumal sich die Vor- instanz entgegen der Auffassung der Beschwerdeführerin für die Frage der Konnexität nach Art. 6 Abs. 3 VGG nicht nur auf Dr. F.________, sondern auch auf Prof. Dr. E.________ abstützte.</w:t>
      </w:r>
    </w:p>
    <w:p>
      <w:r>
        <w:rPr>
          <w:b/>
        </w:rPr>
        <w:t>E. 4.5</w:t>
      </w:r>
    </w:p>
    <w:p>
      <w:r>
        <w:t>Die Beschwerdeführerin beanstandet schliesslich, entscheidend für einen kausalen Zusammenhang der beiden Erkrankungen sei nicht die Diagnose, sondern die der Krankheit zugrundeliegende Ursache. Die Vorinstanz verletze Art. 6 Abs. 3 VGG und es sei keine Rückzah- lung geschuldet. Auch diese Rüge geht fehl: Die Vorinstanz ging zutreffend davon aus, dass nach bundesgerichtlicher Rechtsprechung der Kausalitätsbegriff, wie er in Art. 6 Abs. 3 VVG stipuliert wird, weit zu verstehen ist (Urteil 9C_18/2016 vom 7. Oktober 2016 E. 6.2.2 mit Hinweisen). Sie stellte sodann fest, dass bei der Beschwerdeführerin im Jahre 2010/2011 ein "Erschöpfungssyndrom im Sinne eines Burnout-Syndrom" und eine "mittelgradig depressive Episode mit somatischem Syndrom" und im Jahre 2016 ein "Burnout-Syndrom mit schwerem Erschöpfungs- zustand" und eine wiederkehrende "depressive Störung" diagnostiziert wurde. Unter diesen Umständen verletzte die Vorinstanz kein Bundes- recht, wenn sie zwischen den verschwiegenen psychischen Erkran- kungen der Jahre 2010/2011 und den nunmehr geltend gemachten, wiederkehrenden depressiven Beschwerden, für welche die Beschwer- deführerin von der Beschwerdegegnerin Taggelder beanspruchte, einen Zusammenhang im Sinne von Art. 6 Abs. 3 VVG bejahte. Seite 10</w:t>
      </w:r>
    </w:p>
    <w:p>
      <w:r>
        <w:rPr>
          <w:b/>
        </w:rPr>
        <w:t>E. 5</w:t>
      </w:r>
    </w:p>
    <w:p>
      <w:r>
        <w:t>Nach dem Ausgeführten ist die Beschwerde abzuweisen, soweit auf sie überhaupt eingetreten werden kann. Bei diesem Ausgang des Verfahrens wird die Beschwerdeführerin kostenpflichtig (Art. 66 Abs. 1 BGG). Der Beschwerdegegnerin, die nicht durch einen extern manda- tierten Anwalt vertreten ist, steht keine Parteientschädigung zu (Art. 68 Abs. 1 und 2 BGG;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