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20190710_d_ch_b_01 vom 10. Juli 2019</w:t>
      </w:r>
    </w:p>
    <w:p>
      <w:r>
        <w:t>FINMA Versicherungsrecht, 2019-07-10, DE</w:t>
      </w:r>
    </w:p>
    <w:p>
      <w:r>
        <w:rPr>
          <w:b/>
        </w:rPr>
        <w:t xml:space="preserve">Quelle: </w:t>
      </w:r>
      <w:r>
        <w:t>https://mcp.opencaselaw.ch/entscheid/finma_versicherungsrecht_20190710_d_ch_b_01</w:t>
      </w:r>
    </w:p>
    <w:p>
      <w:r>
        <w:t>FR: FINMA_VERSICHERUNGSRECHT 20190710_d_ch_b_01 du 10 juillet 2019</w:t>
      </w:r>
    </w:p>
    <w:p>
      <w:r>
        <w:t>IT: FINMA_VERSICHERUNGSRECHT 20190710_d_ch_b_01 del 10 luglio 2019</w:t>
      </w:r>
    </w:p>
    <w:p>
      <w:pPr>
        <w:pStyle w:val="Heading2"/>
      </w:pPr>
      <w:r>
        <w:t>Erwägungen</w:t>
      </w:r>
    </w:p>
    <w:p>
      <w:r>
        <w:rPr>
          <w:b/>
        </w:rPr>
        <w:t>E. 1.1</w:t>
      </w:r>
    </w:p>
    <w:p>
      <w:r>
        <w:t>Die Beschwerde betrifft eine Zivilsache (Art. 72 BGG) und richtet sich gegen den Endentscheid (Art. 90 BGG) eines oberen kantonalen Gerichts, das als Fachgericht in Handelssachen entschieden hat (Art. 75 Abs. 2 lit. b BGG). Der Beschwerdeführer ist mit seinen Anträ- gen vor der Vorinstanz unterlegen (Art. 76 BGG). Ein Streitwert ist nicht erforderlich (Art. 74 Abs. 2 lit. b BGG) und die Beschwerdefrist ist eingehalten (Art. 100 BGG). Eine rechtsgenügliche Begründung vorbe- halten (Art. 42 Abs. 2 und Art. 106 Abs. 2 BGG), ist auf die Beschwer- de einzutreten.</w:t>
      </w:r>
    </w:p>
    <w:p>
      <w:r>
        <w:rPr>
          <w:b/>
        </w:rPr>
        <w:t>E. 1.2</w:t>
      </w:r>
    </w:p>
    <w:p>
      <w:r>
        <w:t>Das Bundesgericht wendet das Recht von Amtes wegen an (Art. 106 Abs. 1 BGG). Es ist somit weder an die in der Beschwerde geltend gemachten Argumente noch an die Erwägungen der Vorin- stanz gebunden; es kann eine Beschwerde aus einem anderen als dem angerufenen Grund gutheissen oder eine Beschwerde mit einer von der Argumentation der Vorinstanz abweichenden Begründung ab- weisen. Mit Blick auf die Begründungspflicht der beschwerdeführen- den Partei (Art. 42 Abs. 1 und 2 BGG) behandelt es aber grundsätzlich nur die geltend gemachten Rügen, sofern die rechtlichen Mängel nicht geradezu offensichtlich sind; es ist jedenfalls nicht gehalten, wie eine erstinstanzliche Behörde alle sich stellenden rechtlichen Fragen zu un- tersuchen, wenn diese vor Bundesgericht nicht mehr vorgetragen wer- den (BGE 140 III 115 E. 2 S. 116; 137 III 580 E. 1.3; 135 III 397 E. 1.4 S. 400). Seite 3</w:t>
      </w:r>
    </w:p>
    <w:p>
      <w:r>
        <w:rPr>
          <w:b/>
        </w:rPr>
        <w:t>E. 2</w:t>
      </w:r>
    </w:p>
    <w:p>
      <w:r>
        <w:t>Der Beschwerdeführer rügt, die Vorinstanz habe die Ungewöhnlich- keitsregel zu Unrecht nicht angewandt. Die Klausel der Allgemeinen Versicherungs-Bedingungen (AVB) in lit. F Ziff. 11 Abs. 2 sei zumin- dest im Zusammenhang mit lit. F Ziff. 9 AVB ungewöhnlich und des- halb für den global zustimmenden Kunden unverbindlich. Die Vorin- stanz habe zudem Bundesrecht sowie die EMRK verletzt, indem sie im Ergebnis davon ausgegangen sei, ein Versicherungsanspruch könne vor seiner Fälligkeit verwirken.</w:t>
      </w:r>
    </w:p>
    <w:p>
      <w:r>
        <w:rPr>
          <w:b/>
        </w:rPr>
        <w:t>E. 2.1</w:t>
      </w:r>
    </w:p>
    <w:p>
      <w:r>
        <w:t>Die Geltung vorformulierter allgemeiner Geschäftsbedingungen wird gemäss der Rechtsprechung durch die Ungewöhnlichkeitsregel eingeschränkt. Danach sind von der global erklärten Zustimmung zu allgemeinen Vertragsbedingungen alle ungewöhnlichen Klauseln aus- genommen, auf deren Vorhandensein die schwächere oder weniger geschäftserfahrene Partei nicht gesondert aufmerksam gemacht wor- den ist. Der Verfasser von allgemeinen Geschäftsbedingungen muss nach dem Vertrauensgrundsatz davon ausgehen, dass ein unerfahre- ner Vertragspartner ungewöhnlichen Klauseln nicht zustimmt. Die Un- gewöhnlichkeit beurteilt sich aus der Sicht des Zustimmenden im Zeit- punkt des Vertragsabschlusses. Für einen Branchenfremden können deshalb auch branchenübliche Klauseln ungewöhnlich sein. Die Unge- wöhnlichkeitsregel kommt jedoch nur dann zur Anwendung, wenn neben der subjektiven Voraussetzung des Fehlens von Branchener- fahrung die betreffende Klausel objektiv beurteilt einen geschäftsfrem- den Inhalt aufweist. Dies ist dann zu bejahen, wenn sie zu einer we- sentlichen Änderung des Vertragscharakters führt oder in erheblichem Masse aus dem gesetzlichen Rahmen des Vertragstypus fällt. Je stär- ker eine Klausel die Rechtsstellung des Vertragspartners beeinträch- tigt, desto eher ist sie als ungewöhnlich zu qualifizieren (BGE 138 III 411 E. 3.1; 135 III 1 E. 2.1 S. 7; je mit Hinweisen). Das Bundesge- richt prüft die Anwendung der Ungewöhnlichkeitsregel als Rechtsfrage frei (Art. 106 Abs. 1 BGG; BGE 138 III 411 E. 3.4; 133 III 607 E. 2.2 mit Hinweisen).</w:t>
      </w:r>
    </w:p>
    <w:p>
      <w:r>
        <w:rPr>
          <w:b/>
        </w:rPr>
        <w:t>E. 2.2</w:t>
      </w:r>
    </w:p>
    <w:p>
      <w:r>
        <w:t>Die besagte lit. F Ziff. 11 Abs. 2 AVB lautet wie folgt: "Lehnt die B.________-Versicherung die Entschädigungsforderung ab, muss sie der Anspruchsberechtigte innert 2 Jahren nach Eintritt des Ereignisses gerichtlich geltend machen, andernfalls er seine Rechte verliert (Verwirkung)." Derartige Klauseln, welche die Modalitäten zur Geltendmachung eines Versicherungsanspruchs regeln, indem sie eine zeitliche Beschrän- Seite 4</w:t>
      </w:r>
    </w:p>
    <w:p>
      <w:r>
        <w:t>kung für den Fall der Ablehnung vorsehen, sind nach ständiger Recht- sprechung des Bundesgerichts branchenüblich (vgl. bereits BGE 49 II 121 E. 6 und 74 II 97 E. 2 sowie für aktuellere Entscheide die Urteile 4A_200/2008 vom 18. August 2008 E. 2.3.2; 5C.215/1999 vom 9. März 2000 lit. A und E. 4b, nicht publ. in: BGE 126 III 278). Die gemäss Feststellung der Vorinstanz von der Beschwerdegegnerin ein- gereichten AVB anderer Versicherungen bestätigen diese Branchen- üblichkeit. Sodann ist weder ersichtlich noch dargetan, inwiefern die Bestimmung zu einer wesentlichen Änderung des Vertragscharakters im Sinne vorstehender Erwägungen führen würde. Vielmehr erscheint es naheliegend, dass der Zeitraum zur Geltendmachung des An- spruchs bei abgelehnter Leistungspflicht vertraglich auf 2 Jahre nach Eintritt des Ereignisses befristet wird; zumal dies auch gesetzlich vor- gesehen ist (vgl. Art. 46 Abs. 2 VVG; vgl. dazu auch die Urteile 4A_200/2008 vom 18. August 2008 E. 2.3.2 in fine; 5C.215/1999 vom 9. März 2000 E. 4b, nicht publ. in: BGE 126 III 278). Entgegen dem Standpunkt des Beschwerdeführers wird die Klausel bezüglich Befristung der Geltendmachung auch nicht dadurch unge- wöhnlich, dass sie allenfalls in Verbindung mit lit. F Ziff. 9 AVB zum Zuge kommt, wonach der Versicherungsanspruch erst nach rechts- kräftiger Erledigung eines allfälligen im Zusammenhang mit der Scha- densmeldung eingeleiteten Strafuntersuchungsverfahrens fällig wird. Seine weder weiter detaillierte noch belegte Behauptung, Strafunter- suchungsverfahren würden nicht nur in Einzelfällen eingeleitet, ver- mag an der Gewöhnlichkeit der Klausel ebenfalls nichts zu ändern. Da Art. 41 Abs. 2 VVG nur verbietet, den Anspruch erst durch Anerken- nung seitens des Versicherers oder dessen rechtskräftiger Verurtei- lung verfallen zu lassen, ist lit. F Ziff. 9 AVB nicht zu beanstanden (e contrario-Schluss). Auch in der Lehre wird vertreten, dass Versiche- rer die Anspruchsfälligkeit insbesondere dann zu Recht aufschieben, wenn die Leistungspflicht derart in Zweifel steht, dass wegen des Ver- sicherungsfalls gegen den Versicherungsnehmer noch ein Untersu- chungsverfahrens seitens Polizei oder Strafbehörden im Gange ist (vgl. JÜRG NEF, in: Basler Kommentar, Bundesgesetz über den Versi- cherungsvertrag, 2000, N. 25 zu Art. 41 VVG; vgl. auch CHRISTOPH GRABER, in: Basler Kommentar, Versicherungsvertragsgesetz, Nach- führungsband, 2012, N. 20 zu Art. 46 VVG mit Hinweis auf Urteil 4A_645/2010 vom 23. Februar 2011 E. 2.4.2, wo allerdings eine Klau- sel zu beurteilen war, die nur die Entschädigungszahlung und nicht die Anspruchsfälligkeit selbst aufschob). Seite 5</w:t>
      </w:r>
    </w:p>
    <w:p>
      <w:r>
        <w:t>Es mag sodann zutreffen, dass in gewissen Ausnahmefällen der An- spruch bereits vor Fälligkeit verwirken könnte. Doch standen dem Be- schwerdeführer nach seiner eigenen Darstellung ab dem Zeitpunkt der rechtskräftigen Einstellung der Strafuntersuchung noch beinahe zehn Monate zur Einreichung der Klage zur Verfügung, womit das von ihm beschriebene Szenario der Anspruchsverwirkung vor Fälligkeit rein theoretisch ist und zur Beurteilung des vorliegenden Falles nicht massgebend sein kann. Wenn der Bestand eines Anspruchs – wie vor- liegend – an die Beobachtung einer Frist geknüpft ist, ist ein schuldlos säumiger Versicherungsnehmer schliesslich nach Art. 45 Abs. 3 VGG befugt, die entsprechende Handlung sofort nach Beseitigung des Hin- dernisses nachzuholen (vgl. dazu CHRISTOPH GRABER, in: Basler Kom- mentar, Bundesgesetz über den Versicherungsvertrag, 2000, N. 43 zu Art. 46 VVG). Vor diesem Hintergrund sind die fraglichen AVB- Klauseln rechtskonform.</w:t>
      </w:r>
    </w:p>
    <w:p>
      <w:r>
        <w:rPr>
          <w:b/>
        </w:rPr>
        <w:t>E. 3</w:t>
      </w:r>
    </w:p>
    <w:p>
      <w:r>
        <w:t>Der Beschwerdeführer rügt, die Vorinstanz habe verkannt, dass sich die Beschwerdegegnerin treuwidrig bzw. rechtsmissbräuchlich verhal- ten habe (Art. 2 Abs. 1 und 2 ZGB), indem sie trotz Verjährungs- verzicht und Weiterführung der Gespräche die Einwendung der Anspruchsverwirkung erhoben habe.</w:t>
      </w:r>
    </w:p>
    <w:p>
      <w:r>
        <w:rPr>
          <w:b/>
        </w:rPr>
        <w:t>E. 3.1</w:t>
      </w:r>
    </w:p>
    <w:p>
      <w:r>
        <w:t>Eine Verfallklausel im Sinne von Art. 46 Abs. 2 VVG und eine ge- setzliche Verjährungsfrist schliessen sich nicht gegenseitig aus, son- dern bestehen nebeneinander und sind voneinander zu unterscheiden. Die zweijährige Frist der Verfallklausel bleibt deshalb grundsätzlich durch die Erklärung, für eine bestimmte Zeit auf die Einrede der Ver- jährung zu verzichten, unbeeinflusst und läuft weiter (vgl. Urteil 5C.215/1999 vom 9. März 2000 E. 4b, nicht publ. in: BGE 126 III 27 mit Hinweis auf MAX KELLER/KARL TÄNNLER, Kommentar zum schweize- rischen Bundesgesetz über den Versicherungsvertrag, 1968, S. 627). Aus diesem Grunde muss der Anspruchsberechtigte gegebenenfalls sowohl die Verjährung unterbrechen als auch die für die Wahrung der Verwirkungsfrist vertraglich vorgesehene Rechtshandlung vornehmen (GRABER, a.a.O., 2000, N. 42 zu Art. 46 VVG mit Hinweisen). Da ein an eine Präklusionsfrist gebundener Anspruch mit Fristablauf an sich un- tergeht, ist ein Gericht auch ohne parteiliche Einwendung gehalten, die Forderung in Rechtsanwendung von Amtes wegen abzuweisen. Insoweit ist der Schluss der Vorinstanz nicht zu beanstanden, die Prä- klusionsfrist sei ununterbrechbar und auf die Geltendmachung einer verfallenen Forderung könne nicht gültig verzichtet werden. Indes ist entgegen dem, was der Begründung im angefochtenen Urteil entnom- Seite 6</w:t>
      </w:r>
    </w:p>
    <w:p>
      <w:r>
        <w:t>men werden könnte, die auf parteilichem Konsens basierende Verfall- klausel von einer gesetzlichen Verwirkungsfrist im eigentlichen Sinne insoweit zu unterscheiden, als die Klausel grundsätzlich jederzeit ein- vernehmlich abgeändert oder ersatzlos gestrichen werden könnte. Da der Entscheid der Versicherung, den geltend gemachten Anspruch abzulehnen, gemäss der Klausel die Bedingung für den Präklusions- fristlauf ist, könnte der Verfall des Anspruchs auch durch seine Aner- kennung seitens der Versicherung verhindert werden, was die Ver- sicherung jedoch gemäss dem Sachverhalt im angefochtenen Urteil nie tat.</w:t>
      </w:r>
    </w:p>
    <w:p>
      <w:r>
        <w:rPr>
          <w:b/>
        </w:rPr>
        <w:t>E. 3.2</w:t>
      </w:r>
    </w:p>
    <w:p>
      <w:r>
        <w:t>Der Beschwerdeführer macht denn auch weder geltend, dass die Parteien einvernehmlich die Klausel aufgehoben hätten noch dass die Beschwerdegegnerin einseitig auf ihren Entscheid zurückgekommen sei, auf den Schadensfall gar nicht erst einzutreten. Er beschränkt sich darauf, das Verhalten der Beschwerdegegnerin als rechtsmissbräuch- lich zu bezeichnen und führt zur Begründung im Wesentlichen aus, es habe nach der Verjährungsverzichtserklärung ein weiteres Treffen am 30. März 2016 stattgefunden, was ebenfalls den Eindruck erweckt hätte, die Beschwerdegegnerin sei verhandlungsbereit. Es trifft zwar zu, dass nach der bundesgerichtlichen Rechtsprechung auch ohne Enttäuschung berechtigter Erwartungen in einer gegenwär- tigen, in sich völlig unvereinbaren und darum widersprüchlichen Ver- haltensweise Rechtsmissbrauch gesehen werden kann (venire contra factum proprium; vgl. dazu BGE 138 III 401 E. 2.2 S. 403; Urteil 4A_530/2016 vom 20. Januar 2017 E. 3.2 mit zahlreichen Hinweisen). Doch handelte die Beschwerdegegnerin nicht rechtsmissbräuchlich, wenn sie einerseits auf Anfrage des Rechtsvertreters des Beschwer- deführers hin schriftlich erklärte, einstweilig auf die Einrede der Ver- jährung zu verzichten und sich andererseits im anschliessenden Prozess auf den Anspruchsuntergang berief, zumal die Vorinstanz den Forderungsverfall auch von Amtes wegen hätte berücksichtigen müssen. Hinzu kommt, dass die Beschwerdegegnerin ihrem Verjäh- rungsverzicht ausdrücklich anfügte, sich "[a]lle übrigen Rechte, Einreden und Einwendungen" vorzubehalten. Insofern der anwaltlich vertretene Beschwerdeführer die Präklusions- und Verjährungsfrist, welche sich nach dem vorstehend Gesagten (vgl. E. 3.1) grundlegend voneinander unterscheiden, miteinander vermengt haben sollte, wäre das ihm selbst zuzuschreiben.</w:t>
      </w:r>
    </w:p>
    <w:p>
      <w:r>
        <w:rPr>
          <w:b/>
        </w:rPr>
        <w:t>E. 3.3</w:t>
      </w:r>
    </w:p>
    <w:p>
      <w:r>
        <w:t>Da der Beschwerdeführer die mit schriftlich erklärter Anspruchsab- lehnung vom 17. November 2015 laufende zweijährige Präklusionsfrist Seite 7</w:t>
      </w:r>
    </w:p>
    <w:p>
      <w:r>
        <w:t>nicht einhielt, sondern die Klage erst am 1. Februar 2018 und damit über eineinhalb Jahre verspätet einreichte, schloss die Vorinstanz zutreffend, sein allfälliger Anspruch sei untergegangen.</w:t>
      </w:r>
    </w:p>
    <w:p>
      <w:r>
        <w:rPr>
          <w:b/>
        </w:rPr>
        <w:t>E. 4</w:t>
      </w:r>
    </w:p>
    <w:p>
      <w:r>
        <w:t>Die Beschwerde ist abzuweisen, soweit auf sie eingetreten werden kann. Da sich die Beschwerde von vornherein als aussichtslos erweist, ist das Gesuch um unentgeltliche Rechtspflege für das bundesgericht- liche Verfahren abzuweisen (vgl. Art. 64 Abs. 1 und 2 BGG). Die Ge- richtskosten sind dem unterliegenden Beschwerdeführer aufzuerlegen (Art. 66 Abs. 1 BGG). Mangels eingeholter Beschwerdeantwort ist der Beschwerdegegnerin praxisgemäss keine Parteientschädigung für das Verfahren vor Bundesgericht zuzusprechen (Art. 68 Abs. 1 und 2 BGG). Seite 8</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