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20181218_f_ge_o_01 vom 18. Dezember 2018</w:t>
      </w:r>
    </w:p>
    <w:p>
      <w:r>
        <w:t>FINMA Versicherungsrecht, 2018-12-18, FR</w:t>
      </w:r>
    </w:p>
    <w:p>
      <w:r>
        <w:rPr>
          <w:b/>
        </w:rPr>
        <w:t xml:space="preserve">Quelle: </w:t>
      </w:r>
      <w:r>
        <w:t>https://mcp.opencaselaw.ch/entscheid/finma_versicherungsrecht_20181218_f_ge_o_01</w:t>
      </w:r>
    </w:p>
    <w:p>
      <w:r>
        <w:t>FR: FINMA_VERSICHERUNGSRECHT 20181218_f_ge_o_01 du 18 décembre 2018</w:t>
      </w:r>
    </w:p>
    <w:p>
      <w:r>
        <w:t>IT: FINMA_VERSICHERUNGSRECHT 20181218_f_ge_o_01 del 18 dicembre 2018</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n° 2236304.2004, le contrat est régi par les CGA, lesquelles renvoient expressément à la LCA (art. 24.2 CGA). La compétence de la chambre de céans à raison de la matière pour juger du cas d’espèce est ainsi établie. b.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25 CGA prévoit que le preneur d’assurance, l’assuré ou l’ayant droit ont le choix entre le for ordinaire ou celui de leur domicile en Suisse. La demanderesse ayant son domicile à Genève, la chambre de céans est compétente à raison du lieu pour connaître de la présente demande. c. L’employeur en tant que preneur d’assurance et la défenderesse en qualité d’assureur ont conclu un contrat collectif d’indemnité journalière selon la LCA. Par cette convention, la demanderesse a été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t>A/28/2018 - 11/19 -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5 janvier 2018 par laquelle la demanderesse sollicite le paiement de CHF 131'400.- à titre d’indemnités journalières dès le 1er septembre 2017 a été déposée dans le délai de deux ans susmentionné. f. La présente demande répond aux exigences légales et de forme (art. 130 et 244 CPC). g. Elle est donc recevable.</w:t>
      </w:r>
    </w:p>
    <w:p>
      <w:r>
        <w:rPr>
          <w:b/>
        </w:rPr>
        <w:t>E. 2</w:t>
      </w:r>
    </w:p>
    <w:p>
      <w:r>
        <w:t>La contestation porte sur l’obligation de la défenderesse de verser à la demanderesse la somme de CHF 131'400.- à titre d’indemnités journalières en lien avec son incapacité de travail ayant débuté le 18 juillet 2017.</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w:t>
      </w:r>
    </w:p>
    <w:p>
      <w:r>
        <w:t>A/28/2018 - 12/19 -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w:t>
      </w:r>
    </w:p>
    <w:p>
      <w:r>
        <w:t>A/28/2018 - 13/19 -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w:t>
      </w:r>
    </w:p>
    <w:p>
      <w:r>
        <w:rPr>
          <w:b/>
        </w:rPr>
        <w:t>E. 6</w:t>
      </w:r>
    </w:p>
    <w:p>
      <w:r>
        <w:t>a. La LCA contient une réglementation spéciale sur les conséquences du retard dans le paiement des primes. Elle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 son obligation ne reprend effet qu'à partir du moment où la prime arriérée a été acquittée avec les intérêts et les frais. La suspension de la couverture d'assurance a été prévue par la loi pour tenir compte des particularités de l'assurance : le recouvrement juridique de la prime n'est pas compatible avec la nature de l'exploitation de l'assureur, lequel doit pouvoir compter sur le paiement ponctuel des primes, et il conduirait l'assureur à reporter les pertes dues aux mauvais payeurs en adaptant le tarif des primes pour l'ensemble des assurés.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CO) - en prescrivant l'envoi d'une sommation répondant à des exigences strictes quant à sa forme et quant à son contenu (ATF 128 III 186 consid. 2d et les références).</w:t>
      </w:r>
    </w:p>
    <w:p>
      <w:r>
        <w:t>A/28/2018 - 14/19 - b. La suspension prévue à l’art. 20 al. 3 LCA affecte l'obligation de l'assureur comme telle. La loi n'en limite nullement l'effet à une période déterminée, notamment pas à la période afférente à la prime en souffrance. Il s'ensuit que la suspension ne prend fin qu'après paiement de la dette qui a fait l'objet de la sommation. Dès lors, l'échéance d'une nouvelle prime ne saurait faire cesser la suspension, qui continue aussi longtemps que l'assuré est en demeure. Le paiement d'une prime subséquente ne saurait non plus avoir pour conséquence que la garantie de l'assureur soit remise en vigueur, la loi n’accordant cet effet qu'au paiement de la prime arriérée. On ne peut pas davantage déduire de l'acceptation par l'assureur de la prime nouvelle qu'il serait réputé renoncer au bénéfice de la suspension de garantie pour la période antérieure au paiement ou d'une façon générale. L'assureur est tenu d'accepter le paiement régulier de la prime nouvelle (art. 91 CO), qu'il n'a pas le droit de refuser, à moins qu'il n'entende se départir du contrat, ce à quoi on ne saurait l'obliger. Un tel paiement ne libère que partiellement le débiteur, savoir pour la prime afférente à la période d'assurance postérieure. La demeure subsiste pour le solde, avec tous les effets que la loi attache à la sommation comminatoire de l'art. 20 LCA (ATF 103 II 204 consid. 5b). c. 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2ème éd. 2011, n° 715).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 il doit notamment aussi évoquer la possibilité de se départir du contrat et la présomption découlant de l'art. 21 al. 1 LCA. Un simple renvoi aux articles 20ss.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4A_134/2015 du 14 septembre 2015 consid. 3.2.2 ; arrêt du Tribunal fédéral 4A_397/2010 du 28 septembre 2010 consid. 4.4). La sommation qui n'informe pas correctement le débiteur des conséquences de la demeure est irrégulière ; elle ne saurait déployer les effets qu'elle omet de mentionner (ATF 138 III 2 consid. 4.2 i.f. ; ATF 128 III 186 consid. 2b et 2f ; arrêt du Tribunal fédéral du 14 septembre 2015 consid. 3.2.2 ).</w:t>
      </w:r>
    </w:p>
    <w:p>
      <w:r>
        <w:t>A/28/2018 - 15/19 - En tant qu'acte juridique unilatéral comportant l'exercice d'un droit formateur, la sommation est sujette à réception et il appartient à l'assureur de le prouver (art. 8 CC ; Franz HASENBÖHLER, in Kommentar zum Schweizerisches Privatrecht, 2001, n° 24 ad art. 20 LCA ; Benoît CARRON, La loi fédérale sur le contrat d'assurance, 1997, p. 62 n° 181 et p. 63 n° 184). C'est donc à l'assureur qui entend obtenir la suspension de son obligation d'établir que la sommation a été notifiée au preneur d'assurance. À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(HASENBÖHLER, op. cit., n° 25 ad art. 20 LCA). Même en cas de pli recommandé, l’assureur doit prouver qu’un avis de retrait a bien été déposé à l’intention du destinataire (BRULHART, op. cit., n° 715).</w:t>
      </w:r>
    </w:p>
    <w:p>
      <w:r>
        <w:t>d. 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n’autorise pas ce dernier au refus de sa prestation, quand bien même il ne parviendrait pas à recouvrer la prime (BRULHART, op. cit., n° 717).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 31-32). Tous les frais relatifs à la notification, aux poursuites, aux coûts supplémentaires de gestion de dossier doivent être entièrement remboursés en sus de la prime, pour que l’assurance soit remise en vigueur (BRULHART, op. cit., n° 717).</w:t>
      </w:r>
    </w:p>
    <w:p>
      <w:r>
        <w:rPr>
          <w:b/>
        </w:rPr>
        <w:t>E. 7</w:t>
      </w:r>
    </w:p>
    <w:p>
      <w:r>
        <w:t>En l'espèce, l’art. 14.1 CGA stipule que les primes sont, pour chaque période d’assurance, payables à l’avance à l’échéance fixée dans le contrat. La police d’assurance perte de gain en cas de maladie n° 22363034-2004, valable dès le 1er janvier 2017 prévoit le paiement trimestriel des primes d’assurance avec une échéance principale le 1er janvier. Le 6 octobre 2016, la défenderesse a envoyé à l’employeur la facture de primes pour la période du 1er janvier au 31 mars 2017 (CHF 12'719.90), laquelle devait donc être honorée le 1er janvier 2017. Faute de paiement, la défenderesse, par courrier du 9 mars 2017, a dûment sommé l’employeur de payer les primes échues pour les mois de janvier à mars 2017, dans le délai de 14 jours fixé par</w:t>
      </w:r>
    </w:p>
    <w:p>
      <w:r>
        <w:t>A/28/2018 - 16/19 - l'art. 20 al. 1 LCA. Elle a expressément averti l’employeur des conséquences du retard, soit de la suspension de la couverture d'assurance et du droit de l'assureur de résilier le contrat. Cette sommation, laquelle mentionne également le montant des primes qui est exigé, informe correctement l’employeur des conséquences de la demeure. Elle est donc valable. La défenderesse a établi que cette sommation, adressée par pli recommandé, a été distribuée à l’employeur le 10 mars 2017, de sorte que le délai de 14 jours est arrivé à échéance le 24 mars 2017. Faute de paiement dans ce délai, le contrat a été automatiquement suspendu le 24 mars 2017, ce qui n’est au demeurant pas contesté par la demanderesse.</w:t>
      </w:r>
    </w:p>
    <w:p>
      <w:r>
        <w:rPr>
          <w:b/>
        </w:rPr>
        <w:t>E. 8</w:t>
      </w:r>
    </w:p>
    <w:p>
      <w:r>
        <w:t>L’obligation de la défenderesse ne peut reprendre effet qu’à partir du moment où la prime arriérée a été acquittée. La défenderesse allègue n’avoir reçu aucun versement de la part de l’employeur suite à sa sommation du 9 mars 2017, ce que conteste la demanderesse. Contrairement à ce que soutient la demanderesse, il n’incombait pas à la défenderesse de démontrer que l’employeur ne s’est pas acquitté de la prime échue et de prouver ainsi que la suspension de la couverture a perduré. Aucun élément ne permet raisonnablement de douter de la véracité des allégations de la défenderesse, selon lesquelles l’employeur n’aurait pas honoré la facture de primes à la base de la suspension. La demanderesse ne fait d’ailleurs état d’aucune circonstance propre à faire naître des doutes sérieux sur l’exactitude des déclarations de la défenderesse quant à la persistance de la suspension pendant la période d’incapacité de travail. Il n’est donc pas question d'exiger de la défenderesse qu’elle démontre l’absence de paiement des factures de primes arriérées, ce qui constitue une preuve négative. On relèvera en outre que la défenderesse a indiqué à l’employeur le 28 juillet 2017 que l’incapacité de travail de la demanderesse n’était pas couverte en raison du non- paiement des primes et de la suspension du contrat depuis le 24 mars 2017. Nul doute que l’employeur n’aurait pas manqué de contester la position de la défenderesse s’il s’était effectivement acquitté des primes, dès lors qu’il était encore tenu au versement du salaire de la demanderesse dont les rapports de travail n’avaient pas encore pris fin. En outre, les factures de primes relatives aux périodes du 1er avril au 30 juin et du 1er juillet au 30 septembre 2017 mentionnent un début d’assurance au 1er avril 2017, respectivement au 1er juillet 2017. Or, si la défenderesse avait accepté le paiement des primes en souffrance après la suspension, ce qui aurait mis fin à cette dernière, elle n’aurait selon toute vraisemblance pas mentionné un début d’assurance à la date d’échéance de la nouvelle facture. Dans ces circonstances, il ne se justifie pas de procéder à l’audition d’un organe de l’employeur ou de requérir la production de pièces comptables de la part de la défenderesse. La chambre de céans considère en effet, par appréciation anticipée</w:t>
      </w:r>
    </w:p>
    <w:p>
      <w:r>
        <w:t>A/28/2018 - 17/19 - des preuves, que de telles mesures probatoires ne sont pas utiles, qui plus est pour trouver la trace d’un non-paiement.</w:t>
      </w:r>
    </w:p>
    <w:p>
      <w:r>
        <w:rPr>
          <w:b/>
        </w:rPr>
        <w:t>E. 9</w:t>
      </w:r>
    </w:p>
    <w:p>
      <w:r>
        <w:t>Eu égard à ce qui précède, force est de constater que l’incapacité de travail de la demanderesse est survenue durant la période de suspension de la couverture d’assurance.</w:t>
      </w:r>
    </w:p>
    <w:p>
      <w:r>
        <w:rPr>
          <w:b/>
        </w:rPr>
        <w:t>E. 10</w:t>
      </w:r>
    </w:p>
    <w:p>
      <w:r>
        <w:t>La demanderesse fait encore valoir une violation du devoir d’information par la défenderesse quant au défaut de couverture. Toutefois,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2009, p. 109). Le Tribunal fédéral a ainsi jugé que c’est au preneur d’assurance d’informer ses employés d’une suspension de la couverture d’assurance. Il a également reconnu la responsabilité d’un employeur lorsque la couverture d’assurance n’est pas conforme à ce qui a été convenu par les parties (arrêt du Tribunal fédéral 5C.41/2001 du 3 juillet 2001 consid. 2h et les références). Par conséquent, la défenderesse ne peut être tenue responsable d’un défaut d’information quant à la suspension de la couverture d’assurance, obligation qui incombait à l’employeur.</w:t>
      </w:r>
    </w:p>
    <w:p>
      <w:r>
        <w:rPr>
          <w:b/>
        </w:rPr>
        <w:t>E. 11</w:t>
      </w:r>
    </w:p>
    <w:p>
      <w:r>
        <w:t>Enfin, la demanderesse invoque une responsabilité délictuelle de la défenderesse. Elle fait ainsi valoir des prétentions qui ne ressortent pas à la LCA, mais au droit pénal (art. 159 CP), voire au droit des obligations (art. 41ss CO). Ces prétentions ne relèvent pas de la compétence matérielle de la chambre de céans mais de celle du juge pénal, voire du juge civil, que la demanderesse est libre de saisir le cas échéant. Dès lors, il n’appartient pas à la chambre de céans de se prononcer sur les prétentions en question.</w:t>
      </w:r>
    </w:p>
    <w:p>
      <w:r>
        <w:rPr>
          <w:b/>
        </w:rPr>
        <w:t>E. 12</w:t>
      </w:r>
    </w:p>
    <w:p>
      <w:r>
        <w:t>Eu égard aux éléments qui précèdent, la demande doit être rejetée.</w:t>
      </w:r>
    </w:p>
    <w:p>
      <w:r>
        <w:rPr>
          <w:b/>
        </w:rPr>
        <w:t>E. 13</w:t>
      </w:r>
    </w:p>
    <w:p>
      <w:r>
        <w:t>Vu l’issue du litige, la question de savoir si l’incapacité de travail de la demanderesse qui a débuté le 18 juillet 2017 est due à l’accident de 2016 ou à une maladie peut demeurer ouverte. Il ne sera donc pas fait suite à la demande de la défenderesse tendant à l’apport du dossier de la SUVA.</w:t>
      </w:r>
    </w:p>
    <w:p>
      <w:r>
        <w:rPr>
          <w:b/>
        </w:rPr>
        <w:t>E. 14</w:t>
      </w:r>
    </w:p>
    <w:p>
      <w:r>
        <w:t>La défenderesse conclut à l’allocation de dépens.</w:t>
      </w:r>
    </w:p>
    <w:p>
      <w:r>
        <w:t>A/28/2018 - 18/19 -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let. e CPC, il n'est pas perçu de frais judiciaires dans la procédure au fond dans les litiges portant sur des assurances complémentaires à l'assurance-maladie sociale au sens de la loi fédérale du 18 mars 1994 sur l'assurance-maladie.</w:t>
      </w:r>
    </w:p>
    <w:p>
      <w:r>
        <w:t>A/28/2018 - 19/19 -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