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20180927_f_ch_b_01 vom 27. September 2018</w:t>
      </w:r>
    </w:p>
    <w:p>
      <w:r>
        <w:t>FINMA Versicherungsrecht, 2018-09-27, FR</w:t>
      </w:r>
    </w:p>
    <w:p>
      <w:r>
        <w:rPr>
          <w:b/>
        </w:rPr>
        <w:t xml:space="preserve">Quelle: </w:t>
      </w:r>
      <w:r>
        <w:t>https://mcp.opencaselaw.ch/entscheid/finma_versicherungsrecht_20180927_f_ch_b_01</w:t>
      </w:r>
    </w:p>
    <w:p>
      <w:r>
        <w:t>FR: FINMA_VERSICHERUNGSRECHT 20180927_f_ch_b_01 du 27 septembre 2018</w:t>
      </w:r>
    </w:p>
    <w:p>
      <w:r>
        <w:t>IT: FINMA_VERSICHERUNGSRECHT 20180927_f_ch_b_01 del 27 settembre 2018</w:t>
      </w:r>
    </w:p>
    <w:p>
      <w:pPr>
        <w:pStyle w:val="Heading2"/>
      </w:pPr>
      <w:r>
        <w:t>Erwägungen</w:t>
      </w:r>
    </w:p>
    <w:p>
      <w:r>
        <w:rPr>
          <w:b/>
        </w:rPr>
        <w:t>E. 1</w:t>
      </w:r>
    </w:p>
    <w:p>
      <w:r>
        <w:t>Le recours contre une décision doit être déposé devant le Tribunal fédéral dans les 30 jours qui suivent la notification de l'expédition complète (art. 100 al. 1 LTF). Ni le droit à la réplique (cf. art. 29 al. 1 et</w:t>
      </w:r>
    </w:p>
    <w:p>
      <w:r>
        <w:rPr>
          <w:b/>
        </w:rPr>
        <w:t>E. 2</w:t>
      </w:r>
    </w:p>
    <w:p>
      <w:r>
        <w:t>Le recours en matière de droit public (art. 82 ss LTF) peut être formé pour violation du droit au sens des art. 95 et 96 LTF. Le Tribunal fédéral applique le droit d'office (art. 106 al. 1 LTF). Il statue sur la base des faits retenus par la juridiction précédente (art. 105 al. 1 LTF), qu'il peut rectifier ou compléter d'office si des lacunes et erreurs mani- festes apparaissent aussitôt (art. 105 al. 2 LTF). Il n'examine en prin- cipe que les griefs allégués et motivés (art. 42 al. 2 LTF) surtout s'ils portent sur la violation des droits fondamentaux (art. 106 al. 2 LTF). Il ne peut pas aller au-delà des conclusions des parties (art. 107 al. 1 LTF). Le recourant n'est habilité à critiquer les constatations de fait que si les faits ont été établis de manière manifestement inexacte ou en violation du droit au sens de l'art. 95 LTF, et si la correction du vice est susceptible d'influer sur le sort de la cause (art. 97 al. 1 LTF; cf. ATF 134 V 53 consid. 4.3 p. 62 et les références).</w:t>
      </w:r>
    </w:p>
    <w:p>
      <w:r>
        <w:rPr>
          <w:b/>
        </w:rPr>
        <w:t>E. 3</w:t>
      </w:r>
    </w:p>
    <w:p>
      <w:r>
        <w:t>Le litige, qui relève incontestablement du domaine de la prévoyance plus étendue, a trait au montant de la rente d'invalidité de la prévoyance professionnelle de l'intimé à compter du 1er février 2015, ainsi qu'à celui des bonifications de vieillesse devant être créditées sur son avoir de vieillesse jusqu'à l'âge de la retraite. Le jugement entrepris expose de manière complète les dispositions légales et les principes jurisprudentiels relatifs notamment au droit à des prestations d'invalidité de la prévoyance professionnelle (art. 23 ss LPP; ATF 138 V 409 consid. 3.1 p. 414 s. et les arrêts cités), ainsi qu'à la possibilité d'émettre des réserves de santé (art. 331c CO; ATF 130 V 9 consid. 4 et 5 p. 13 ss; cf. aussi sur la formulation de réserves rétroactives, arrêt 9C_810/2011 du 4 juin 2012 consid. 4.2) et aux exigences de précision auxquelles doit répondre la formulation de celles-ci (arrêt 9C_806/2015 du 20 juin 2016 consid. 3.3). Il suffit d'y renvoyer. Page 5</w:t>
      </w:r>
    </w:p>
    <w:p>
      <w:r>
        <w:rPr>
          <w:b/>
        </w:rPr>
        <w:t>E. 4.1</w:t>
      </w:r>
    </w:p>
    <w:p>
      <w:r>
        <w:t>Dans un premier grief, la recourante reproche aux premiers juges d'avoir établi les faits de manière manifestement arbitraire et d'avoir violé l'art. 49 LPP, ainsi que le principe de l'interdiction de l'arbitraire (art. 9 Cst.), en lien avec les art. 8, 14 et 15 du règlement de prévoyance de 2011, pour retenir qu'elle avait émis une réserve de santé rétroactive à l'égard de l'intimé. Elle fait en substance valoir qu'il ne s'agit pas d'une réserve de santé, mais d'une limitation de la couverture d'assurance aux prestations de risque acquises avant le rachat de décembre 2011 et l'augmentation de salaire au 1 er janvier 2012, prononcée en application de l'art. 8 du règlement de prévoyance, en raison du fait que l'intimé "a refusé de donner les renseignements médicaux demandés", violant ainsi son devoir d'information; faute de disposer des éléments médicaux nécessaires, la recourante soutient qu'elle n'était précisément pas en mesure de procéder à un examen du risque, et donc, d'émettre une éventuelle réserve.</w:t>
      </w:r>
    </w:p>
    <w:p>
      <w:r>
        <w:rPr>
          <w:b/>
        </w:rPr>
        <w:t>E. 4.2</w:t>
      </w:r>
    </w:p>
    <w:p>
      <w:r>
        <w:t>En dehors du grief selon lequel la juridiction cantonale aurait à tort retenu qu'elle avait émis une réserve de santé, la recourante ne conteste pas les considérations des premiers juges selon lesquelles une telle réserve – eût-elle été effectuée – n'était pas admissible en raison de son caractère rétroactif et de sa formulation imprécise. Il n'y a donc pas lieu d'examiner plus avant cet aspect du litige. En revanche, il faut admettre, à la suite de la recourante, que la juridiction cantonale n'a pas examiné les conséquences d'une éventuelle réticence commise par l'assuré, aspect sur lequel il y a dès lors lieu de se pencher.</w:t>
      </w:r>
    </w:p>
    <w:p>
      <w:r>
        <w:rPr>
          <w:b/>
        </w:rPr>
        <w:t>E. 4.3.1</w:t>
      </w:r>
    </w:p>
    <w:p>
      <w:r>
        <w:t>Selon la jurisprudence, dans le domaine de la prévoyance plus étendue, la réticence et ses conséquences doivent être examinées en fonction des dispositions statutaires et réglementaires; en l'absence de telles dispositions, les institutions de prévoyance sont fondées à se départir du contrat de prévoyance, par application analogique des art. 4 ss LCA (ATF 130 V 9 consid. 2.1 p. 11 s.; 116 V 218 consid. 4 p. 225 s.; arrêt 9C_308/2016 du 17 août 2016 consid. 3.2.2). Les dispositions statutaires et réglementaires déterminantes sont celles qui étaient en vigueur lors de la conclusion du contrat de prévoyance (arrêt 9C_532/2014 du 23 octobre 2014 consid. 3.1 et les arrêts cités), Page 6</w:t>
      </w:r>
    </w:p>
    <w:p>
      <w:r>
        <w:t>respectivement au moment où une augmentation des prestations est intervenue.</w:t>
      </w:r>
    </w:p>
    <w:p>
      <w:r>
        <w:rPr>
          <w:b/>
        </w:rPr>
        <w:t>E. 4.3.2</w:t>
      </w:r>
    </w:p>
    <w:p>
      <w:r>
        <w:t>L'art. 8 du règlement de prévoyance 2011 – en vigueur au moment où le rachat a été effectué (le 5 décembre 2011) et où l'augmentation de salaire a eu lieu (le 1er janvier 2012) –, intitulé "Réserves de santé", a la teneur suivante: "Si, à la date du début de l'assurance ou de l'augmentation des prestations de décès ou d'invalidité assurées par la Fondation, l'assuré ne jouit pas de sa pleine capacité de travail, il doit en informer immédiatement la Fondation. Une telle annonce doit notamment avoir lieu si l'assuré bénéficie de prestations de l'AI ou a déposé une demande de prestations auprès de l'AI, s'il bénéficie d'indemnités journalières de l'assurance-maladie ou de l'assurance-accidents ou s'il est, pour des raisons médicales, en arrêt de travail total ou partiel. La Fondation ou son assureur peuvent exiger du nouvel assuré qu'il remplisse un questionnaire médical et qu'il se soumette à un examen médical auprès d'un médecin désigné par eux ou agréé par eux, et à leurs frais. Le médecin peut également se fonder sur le dossier médical de l'assuré. En cas de refus, la Fondation réduira ses prestations au minimum fixé par la LPP. S'il ressort du questionnaire médical ou de l'examen médical l'existence de risques accrus, la Fondation et son assureur peuvent fixer par écrit une ou plusieurs nouvelles réserves pour la part des prestations de risque excédant celles rachetées par la prestation de libre passage apportée lors de l'entrée dans la Fondation […]. Les alinéas précédents s'appliquent par analogie lors de toute augmentation des prestations de décès ou d'invalidité assurées par la Fondation, résultant notamment d'une hausse du salaire annuel considéré (article 9), d'un rachat de l'assuré (article 52 et article 53) […]. [5e et 6e paragraphes]. Si, lors de son entrée ou de l'augmentation des prestations, l'assuré n'a pas informé la Fondation de la réduction de sa capacité de travail ou a répondu de façon inexacte ou incomplète Page 7</w:t>
      </w:r>
    </w:p>
    <w:p>
      <w:r>
        <w:t>à des questions se rapportant à son état de santé, la Fondation verse uniquement les prestations minimales selon la LPP. Elle notifie la réduction définitive des prestations à l'assuré dans un délai de six mois à compter de la connaissance des faits fondant la réticence."</w:t>
      </w:r>
    </w:p>
    <w:p>
      <w:r>
        <w:rPr>
          <w:b/>
        </w:rPr>
        <w:t>E. 4.4</w:t>
      </w:r>
    </w:p>
    <w:p>
      <w:r>
        <w:t>La recourante ne peut rien tirer à son avantage du refus "initial" de l'intimé de lui remettre le rapport médical requis (cf. art. 8 par. 2 et 4 du règlement de prévoyance). Si l'intimé a certes, dans un premier temps, indiqué à la Fondation que sa demande du 22 juin 2012 tendant à ce qu'il se soumette à un examen médical lui paraissait "inutile" (courrier du 26 juillet 2012), et contesté qu'il doive donner suite à celle-ci (courrier du 16 octobre 2012), il ressort néanmoins des constatations cantonales qu'il n'a pas refusé de faire remplir le questionnaire médical à son médecin traitant. Par un courriel du 14 janvier 2013, l'assuré a en effet transmis à l'intéressée le rapport d'examen médical, complété par la doctoresse E.________. A cet égard, la recourante ne saurait donc être suivie lorsqu'elle affirme qu'en mai 2013, l'assuré n'avait toujours pas "dit à son médecin de prendre contact avec le médecin-conseil du réassureur". Par ailleurs, dès lors que la recourante a finalement disposé du questionnaire médical exigé, elle ne pouvait se fonder sur l'éventualité prévue par l'art. 8 par. 2 du règlement de prévoyance ("En cas de refus... ") pour réduire ses prestations.</w:t>
      </w:r>
    </w:p>
    <w:p>
      <w:r>
        <w:rPr>
          <w:b/>
        </w:rPr>
        <w:t>E. 4.5</w:t>
      </w:r>
    </w:p>
    <w:p>
      <w:r>
        <w:t>Quant à la question de savoir si l'intimé a tardé à annoncer ses problèmes de santé et son incapacité de travail à la recourante, violant ainsi son obligation de renseigner la Fondation et autorisant dès lors celle-ci à verser uniquement les prestations minimales selon la LPP, en application de l'art. 8 par. 7 du règlement de prévoyance relatif à la réticence, elle peut demeurer ouverte. En effet, si la disposition précitée autorise la Fondation à limiter ses prestations à celles fixées par la LPP, lorsque, à la suite d'une augmentation des prestations, l'assuré ne l'informe pas (ou à tout le moins, tarde à l'informer) de la réduction de sa capacité de travail, il n'en demeure pas moins que ladite disposition impose à l'intéressée de "notifie[r] la réduction définitive des prestations à l'assuré dans un délai de six mois à compter de la connaissance des faits fondant la réticence". En l'espèce, l'intimé a adressé à la recourante le rapport d'examen médical en date du 14 janvier 2013, à la suite de quoi cette dernière a été informée de l'atteinte à la santé et de l'incapacité de travail de longue durée. En réponse, la Fondation lui a indiqué, par courrier du Page 8</w:t>
      </w:r>
    </w:p>
    <w:p>
      <w:r>
        <w:t>15 juillet 2013, que son réassureur avait "confirmé la réserve médicale". Or cette correspondance ne peut être considérée comme une notification des conséquences prévues par l'art. 8 par. 7 du règlement de prévoyance pour un cas de réticence. Elle ne fait en effet aucune référence à une réduction définitive des prestations en lien avec une violation de l'obligation d'informer. Contrairement à ce que soutient la recourante, une telle notification valable de la limitation des prestations au minimum légal ne ressort pas non plus des précédents courriers qu'elle a adressés à l'intimé. En particulier, dans sa correspondance du 4 décembre 2012, la Fondation a indiqué à l'assuré que conformément à l'art. 8 par. 4 du règlement de prévoyance, "vos prestations pour les risques du décès et de l'invalidité ne peuvent être majorées pour tenir compte, tant de votre rachat de prestations du 5 décembre 2011 que de l'augmentation de votre salaire assuré au 1er janvier 2012". Elle a en même temps réitéré sa demande relative au questionnaire médical. Son courrier concernait donc la nécessité de compléter les données médicales dans l'optique de la fixation éventuelle d'une réserve au sens de l'art. 8 par. 2, 3 et 4 du règlement de prévoyance. Il ne contenait aucune mention d'un défaut d'information de la part de l'assuré ou d'une information que celui-ci aurait donnée de manière incomplète ou inexacte. On ne saurait donc en déduire que la Fondation entendait limiter ses prestations au minimum prévu par la LPP en raison d'une violation, par l'assuré, de son obligation de renseigner, en application de l'art. 8 par. 7 du règlement de prévoyance. La simple mention d'un calcul ne tenant pas compte "de votre réserve de santé" sur la fiche d'assurance 2013 que la recourante a établie le 22 mars 2013, ne correspond pas non plus à une notification de la réduction prévue par l'art. 8 al. 7 du règlement de prévoyance. Dès lors que la recourante n'a pas clairement et explicitement indiqué, dans le délai de six mois fixé par le règlement, qu'elle entendait limiter ses prestations au minimum fixé par la LPP en raison de la violation, par l'intimé, de son obligation d'annoncer, elle doit se laisser opposer les augmentations de prestations dont il est question.</w:t>
      </w:r>
    </w:p>
    <w:p>
      <w:r>
        <w:rPr>
          <w:b/>
        </w:rPr>
        <w:t>E. 5</w:t>
      </w:r>
    </w:p>
    <w:p>
      <w:r>
        <w:t>Dans un second grief, tiré d'une violation des art. 65 al. 1 et 67 al. 1 LPP en lien avec l'art. 52e al. 1 let. a LPP et les art. 42 et 43 al. 1 let. a OPP 2, la recourante se plaint de ce que le jugement entrepris "méprise […] arbitrairement les exigences légales de sécurité typiquement prévues pour [les] cas où les prestations assurées Page 9</w:t>
      </w:r>
    </w:p>
    <w:p>
      <w:r>
        <w:t>atteignent des montants conséquents" et "crée une incertitude sur la sécurité du financement qui est intolérable et qui met en péril les couvertures de réassurance". Ce motif est également mal fondé. Dès lors que les dispositions légales invoquées par la Fondation ne régissent pas les prestations d'assurance, mais portent sur l'organisation et le financement des institutions de prévoyance, ses considérations y relatives sont dépourvues de toute pertinence pour l'issue du litige (cf. arrêt 9C_98/2015 du 5 août 2015 consid. 5.3).</w:t>
      </w:r>
    </w:p>
    <w:p>
      <w:r>
        <w:rPr>
          <w:b/>
        </w:rPr>
        <w:t>E. 6</w:t>
      </w:r>
    </w:p>
    <w:p>
      <w:r>
        <w:t>Pour le surplus, la recourante ne conteste pas en tant que tel le calcul des prestations d'invalidité opéré par la juridiction cantonale, en tenant compte du salaire 2012 et du rachat effectué en décembre 2011 ("calcul abstraction faite de la réserve prononcée"). Il n'y a dès lors pas lieu de s'écarter des constatations de l'autorité cantonale quant au montant des prestations que la Fondation est tenue de verser à l'intimé.</w:t>
      </w:r>
    </w:p>
    <w:p>
      <w:r>
        <w:rPr>
          <w:b/>
        </w:rPr>
        <w:t>E. 7</w:t>
      </w:r>
    </w:p>
    <w:p>
      <w:r>
        <w:t>Le recours est entièrement mal fondé.</w:t>
      </w:r>
    </w:p>
    <w:p>
      <w:r>
        <w:rPr>
          <w:b/>
        </w:rPr>
        <w:t>E. 8</w:t>
      </w:r>
    </w:p>
    <w:p>
      <w:r>
        <w:t>La recourante, qui succombe, supportera les frais de la procédure (art. 66 al. 1 LTF) ainsi que les dépens de l'intimé (art. 68 al. 1 LTF).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