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20180905_f_ge_o_01 vom 5. September 2018</w:t>
      </w:r>
    </w:p>
    <w:p>
      <w:r>
        <w:t>FINMA Versicherungsrecht, 2018-09-05, FR</w:t>
      </w:r>
    </w:p>
    <w:p>
      <w:r>
        <w:rPr>
          <w:b/>
        </w:rPr>
        <w:t xml:space="preserve">Quelle: </w:t>
      </w:r>
      <w:r>
        <w:t>https://mcp.opencaselaw.ch/entscheid/finma_versicherungsrecht_20180905_f_ge_o_01</w:t>
      </w:r>
    </w:p>
    <w:p>
      <w:r>
        <w:t>FR: FINMA_VERSICHERUNGSRECHT 20180905_f_ge_o_01 du 5 septembre 2018</w:t>
      </w:r>
    </w:p>
    <w:p>
      <w:r>
        <w:t>IT: FINMA_VERSICHERUNGSRECHT 20180905_f_ge_o_01 del 5 settembre 2018</w:t>
      </w:r>
    </w:p>
    <w:p>
      <w:pPr>
        <w:pStyle w:val="Heading2"/>
      </w:pPr>
      <w:r>
        <w:t>Erwägungen</w:t>
      </w:r>
    </w:p>
    <w:p>
      <w:r>
        <w:rPr>
          <w:b/>
        </w:rPr>
        <w:t>E. 30</w:t>
      </w:r>
    </w:p>
    <w:p>
      <w:r>
        <w:t>Le 9 février 2018, le demandeur a relevé que les jurisprudences citées par la défenderesse avait trait à des procédures relatives à des demandes de l’assurance- invalidité et qu’elles concernaient des incapacités de travail de longue durée invalidantes et non des incapacités de travail temporaires, comme c’était le cas en matière d’assurance perte de gain LCA. Ces jurisprudences ne pouvaient être transposées au cas de l’assurance LCA, qui relevait du droit privé. Subsidiairement, le Tribunal fédéral avait déjà défini des situations justifiant une exception au principe de la procédure probatoire structurée de l’ATF 141 V 281. Ainsi, en application du principe de la proportionnalité, il n’était pas nécessaire de recourir à une telle mesure probatoire, particulièrement lourde, lorsque cette dernière s’avérait inappropriée. En l’état, l’expert H______ avait établi de façon claire et précise le diagnostic en constatant que le demandeur avait souffert d’un état dépressif d’intensité sévère jusqu’à l’été 2016, puis moyenne jusqu’à octobre-novembre 2016. Dans de telles circonstances, la procédure probatoire susmentionnée n’était pas nécessaire. Faute d’argument médical, la défenderesse semblait vouloir opposer à l’expertise judiciaire l’appréciation des Dresse D______ et F______ de la clinique Corela. Les rapports de ces dernières ne pouvaient se voir reconnaître force probante, raison pour laquelle la chambre des assurances sociales avait ordonné une nouvelle expertise.</w:t>
      </w:r>
    </w:p>
    <w:p>
      <w:r>
        <w:rPr>
          <w:b/>
        </w:rPr>
        <w:t>E. 31</w:t>
      </w:r>
    </w:p>
    <w:p>
      <w:r>
        <w:t>Le 27 février 2018, le demandeur a relevé qu’au vu du contenu de l’arrêt rendu le 22 décembre 2017 par le Tribunal fédéral à la suite d'un recours déposé par la clinique Corela, qu’il était démontré le peu de sérieux de cette clinique. Il n’était dès lors pas possible d’accorder la moindre crédibilité au rapport rendu par celle-ci dans le cadre de la présente cause.</w:t>
      </w:r>
    </w:p>
    <w:p>
      <w:r>
        <w:rPr>
          <w:b/>
        </w:rPr>
        <w:t>E. 32</w:t>
      </w:r>
    </w:p>
    <w:p>
      <w:r>
        <w:t>Sur ce, la cause a été gardée à juger.</w:t>
      </w:r>
    </w:p>
    <w:p>
      <w:r>
        <w:t>A/893/2016 - 15/24 - EN DROIT 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conclue entre l'employeur et Mutuel, le contrat est régi par la LCA. La compétence de la chambre de céans à raison de la matière pour juger du cas d’espèce est ainsi établie. 2.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ou une personne morale, le for est celui de son domicile ou de leur siège (art. 10 al. 1 let. a et b CPC). L’art. 17 al. 1 CPC prévoit la possibilité d’une élection de for écrite. En l’occurrence, l’art. 33 ch. 2 des conditions générales d'assurances pour la couverture collective d'une indemnité journalière maladie selon la LCA (CGA), qui fait partie intégrante de la police d'assurance, prévoit qu'en cas de contestations, le preneur d'assurance ou l'ayant droit peut choisir soit les tribunaux de son domicile suisse soit ceux du siège de l'assureur. Le demandeur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4. La demande qui comporte notamment un exposé des faits et des conclusions, respecte les conditions de forme légales (art. 130 et 244 CPC). 5. L'objet du litige porte sur le montant des indemnités journalières auquel a droit le demandeur. 6. La LCA ne comporte pas de dispositions particulières à l'assurance d'indemnités journalières en cas de maladie ou d'accident, de sorte qu'en principe, le droit aux prestations se détermine exclusivement d'après la convention des parties (ATF 133 III 185 consid. 2). La police d'assurance prévoit que l'assurance assure l'ensemble du personnel et couvre les conséquences économiques d'une incapacité de travail. Le salaire annuel</w:t>
      </w:r>
    </w:p>
    <w:p>
      <w:r>
        <w:t>A/893/2016 - 16/24 - maximal assuré est de CHF 400'000.- par personne. Pour la maladie, la durée des prestations est de 730 jours avec imputation du délai d'attente, qui est de 60 jours pour l'ensemble du personnel, avec un pourcentage de couverture de 90% du salaire. Selon l'art. 12 CGA, l'indemnité journalière est allouée en cas d'incapacité travail à partir de 25% (ch. 1). L'indemnité journalière est calculée sur la base du salaire en vigueur au moment du sinistre, conformément à la déclaration de l'employeur faite par le biais du formulaire mis à sa disposition par l'assureur (ch. 2). Si l'indemnité est exprimée en pourcent du salaire, elle est calculée comme suit : salaire mensuel multiplié par 12 (ou 13 mois si 13ème salaire), divisé par 365 jours et multiplié par le pourcentage de couverture fixé. 7. La procédure simplifiée s'applique aux litiges portant sur des assurances complémentaires à l’assurance-maladie sociale au sens de la LAMal (art. 243 al. 2 let. f CPC) et la chambre de céans établit les faits d'office (art. 247 al. 2 let. a CPC). 8.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w:t>
      </w:r>
    </w:p>
    <w:p>
      <w:r>
        <w:t>A/893/2016 - 17/24 -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9. 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w:t>
      </w:r>
    </w:p>
    <w:p>
      <w:r>
        <w:t>A/893/2016 - 18/24 -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L’expertise en tant que moyen de preuve admis au sens de l’art. 168 al. 1 let. d CPC ne vise que l’expertise judiciaire au sens de l’art 183 al. 1 CPC. Cela étant, le juge civil peut ordonner l’apport d’une expertise mise en œuvre dans le cadre d’une autre procédure. La valeur probante de telles expertises n’est pas remise en question du fait que le droit d’être entendu des parties au procès doit être garanti, lequel comprend outre une détermination sur le contenu de l’expertise (art. 187 al. 4 CPC) également la possibilité de s’exprimer sur la personne de l’expert (art. 183 al. 2 CPC) et de poser des questions complémentaires (art. 185 al. 2 CPC). Des expertises diligentées par des tiers sont ainsi tout aussi probantes que celles ordonnées par le juge civil, étant rappelé que leur force probante se détermine selon le principe de la libre appréciation des preuves et qu’une nouvelle expertise portant sur les mêmes questions doit être mise en œuvre lorsque l’expertise diligentée par un tiers ne résiste pas à la critique (ATF 140 III 24 consid. 3.3.1.3). Du point de vue probatoire, un rapport médical est une simple expertise privée qui n’est selon la jurisprudence pas un moyen de preuve mais une simple allégation (ATF 140 III 24 consid. 3.3.3 ; ATF 132 III 83 consid. 3.4).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(ATF 125 V 351 consid. 3b/ee). 10. Selon le principe de disposition et maxime d'office prévu à l'art. 58 CPC, le tribunal ne peut accorder à une partie ni plus ni autre chose que ce qui est demandé, ni moins que ce qui est reconnu par la partie adverse (al. 1). Les dispositions prévoyant que le tribunal n’est pas lié par les conclusions des parties sont réservées (al. 2).</w:t>
      </w:r>
    </w:p>
    <w:p>
      <w:r>
        <w:t>A/893/2016 - 19/24 - 11. a. En l'espèce, il n'est pas contesté que le demandeur a souffert, dès le 7 septembre 2015, d'un épisode dépressif sévère à la suite du décès de son fils. Les parties s'opposent en revanche sur la date à partir de laquelle il a retrouvé sa capacité de travail. Pour répondre à cette question, la chambre de céans, considérant que les expertises des Dresses D______ et F______ n'étaient pas convaincantes, a ordonné une expertise psychiatrique dont il convient d'examiner la valeur probante. Il résulte du rapport du Dr H______ que celui-ci a examiné les points litigieux du cas d'espèce de façon détaillée après avoir entendu le demandeur et pris connaissance du dossier. Ses conclusions sont claires et bien motivées et il a précisé pour quels motifs il n'était pas d'accord avec les conclusions de la Dresse F______. b. La défenderesse estime que l'expertise du Dr H______ ne répond pas aux exigences de motivation liées à la nouvelle jurisprudence du Tribunal fédéral (8C_841/2016 et 8C_130/2017). Selon le demandeur, cette jurisprudence ne s'appliquerait pas dans le cadre des litiges LCA.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Selon la jurisprudence rendue jusque-là les dépressions légères à moyennes n'étaient considérées comme invalidantes que lorsqu'on pouvait apporter la preuve qu'elles étaient résistantes à la thérapie (ATF 140 V 193 consid 3.3; arrêts du Tribunal fédéral 9C_841/2016 du 8 février 2017 consid. 3.1 et 9C_13/2016 du 14 avril 2016 consid. 4.2). Selon la nouvelle jurisprudence, il importe plutôt de</w:t>
      </w:r>
    </w:p>
    <w:p>
      <w:r>
        <w:t>A/893/2016 - 20/24 -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 La nouvelle jurisprudence du Tribunal fédéral a bien été rendue dans un cas relatif à l'assurance-invalidité. Il n'apparaît pas exclu qu'elle s'applique dans le cadre de la LCA pour déterminer la capacité de travail d'une personne souffrant d'une dépression moyenne ou légère qui se chronicise. Cette question peut toutefois rester ouverte, dès lors qu'en l'espèce, la situation est différente. En effet, le recourant a commencé par souffrir d'une dépression grave dont il n'est pas contesté qu'elle a atteint sa capacité de travail. Son état s'est ensuite amélioré avec une période de dépression de degré moyen, qui ne l'a pas empêché de retrouver une pleine capacité de travail au 31 aout 2016. Le Dr H______ n'avait pas, dans ces circonstances, à prendre en compte les critères précités développés par le Tribunal fédéral pour déterminer la capacité de travail du recourant. Il a de façon convaincante exposé les raisons pour lesquelles il estimait qu'une incapacité totale de travail devait encore être admise temporairement alors que la dépression du demandeur était de degré moyen. L'état de santé de celui-ci s'est amélioré progressivement et il a été déclaré capable de travailler lorsque son état psychique était suffisamment bon pour qu'il puisse le faire à 100% sans risque de rechute. Il paraît logique qu'une personne qui a souffert d'une grave dépression ne retrouve pas sa capacité de travail aussitôt que sa dépression passe à un degré moyen et il est en conséquence légitime d'admettre une incapacité de travail pendant une période transitoire lui permettant de retrouver une pleine capacité de travail. La défenderesse se contente de critiquer les conclusions de l'expert sans se référer à un avis médical permettant de les mettre sérieusement en cause, étant rappelé que les rapports des Dres D______ et F______ ne peuvent se voir reconnaître force probante comme cela a été jugé dans l'ordonnance d'expertise du 14 septembre 2017. L'expertise du Dr H______ a encore confirmé que le rapport de la Dresse F______ n'était pas convaincant, en se fondant sur une interprétation différente des constatations faites par celle-ci.</w:t>
      </w:r>
    </w:p>
    <w:p>
      <w:r>
        <w:t>A/893/2016 - 21/24 - Le rapport du Dr H______ doit ainsi se voir reconnaître pleine valeur probante et il y a lieu, en conséquence, de retenir, conformément à ses conclusions, que le demandeur a été totalement incapable de travailler jusqu'au 31 août 2016. 12. a. Après avoir fixé le montant de l'indemnité journalière à CHF 767.14 dans sa demande, le demandeur l'a fixé à CHF 690.40 par jour dans sa réplique, reprenant le montant retenu par la défenderesse dans sa réponse du 14 juillet 2016. L'on peut donc considérer que le montant de l'indemnité journalière de CHF 690.40 est admis par les parties. b. La défenderesse a accepté, dans sa réponse, de verser des indemnités journalières pour le mois de janvier 2016 à hauteur de CHF 20'712.-. Il apparaît toutefois que ce montant est erroné. En effet, la défenderesse avait indiqué au début de sa réponse que le montant journalier assuré était de CHF 690.40. Or, si l'on multiplie CHF 690.40 par les 31 jours du mois de janvier 2016, on parvient au montant CHF 21'402.-. Il sera donc donné acte à la défenderesse qu'elle a accepté de payer ce montant pour le mois de janvier 2016. c. La défenderesse doit encore verser 213 indemnités journalières pour la période du 1er février au 31 août 2016, soit un montant total de CHF 147'055.20 (213 x 690.40). 13. a. Le demandeur a conclu le 1er février 2018 au paiement d'un intérêt moyen à 5% sur la somme de CHF 147'055.20 dès le 15 mai 2016. b. Les CGA ne stipulent pas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 Si le délai est fixé par semaines, la dette est échue le jour qui, dans la dernière semaine, correspond par son nom au jour de la conclusion du contrat. Cette règle est également applicable si le délai court à partir d’une époque autre que celle de la conclusion du contrat (art. 77 al. 1 ch. 2 et 77 al. 2 CO).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Un débiteur peut valablement être interpellé avant même l’exigibilité de la créance (ATF 103 II 102 consid. 1a; Rolf WEBER, Berner</w:t>
      </w:r>
    </w:p>
    <w:p>
      <w:r>
        <w:t>A/893/2016 - 22/24 - Kommentar, 2000, n. 102 ad art. 102 CO). La demeure ne déploie toutefois ses effets qu’avec l’exigibilité de la créance. L’assureur qui est en demeure doit un intérêt moratoire au taux de 5% l’an, conformément à l’art. 104 al. 1 CO (arrêt du Tribunal fédéral 4A_307/2008 du 27 novembre 2008 consid. 6.3.1). c. En l’espèce, le demandeur a interpellé la défenderesse le 17 décembre 2015. La transmission à la défenderesse de sa demande en justice du 17 mars 2016 vaut également interpellation. Sa créance de CHF 147'055.20 pour les indemnités journalières relatives à la période du 1er février au 31 août 2016 est devenue exigible le 31 octobre 2016, soit quatre semaines après réception présumée du rapport médical du Dr E______ du 29 septembre 2016. Les intérêts moratoires sont ainsi dus dès le 1er novembre 2016. 14. a. Le demandeur a enfin conclu à ce que la défenderesse soit condamnée à lui verser CHF 1'620.- au titre de dommages et intérêts pour ses frais d'avocat avant procédure, se prévalant de l'art. 106 CO, référence faite à l'ATF 117 II 102 et la SJ 1991 576. b. Aux termes de l’art. 103 al. 1 CO, le débiteur en demeure doit des dommages- intérêts pour cause d’exécution tardive et répond même du cas fortuit. L’obligation de réparer le préjudice est encore rappelée par l’art. 106 CO pour les dettes d’argent. Selon l’art. 106 al. 1 CO, lorsque le dommage éprouvé par le créancier est supérieur à l’intérêt moratoire, le débiteur est tenu de réparer également ce dommage, s’il ne prouve qu’aucune faute ne lui est imputable. Selon la jurisprudence, lorsqu'un dommage est sujet à réparation selon le droit de la responsabilité civile, ce dommage comprend les frais engagés par le lésé pour la consultation d'un avocat avant l'ouverture du procès civil, lorsque cette consultation était nécessaire et adéquate et que, de plus, les frais ne sont pas couverts ni présumés couverts par les dépens auxquels le lésé peut prétendre à l'issue du procès (ATF 139 III 190 consid. 4.2 p. 192). Le dommage comprend également les frais que le lésé a engagés pour se faire conseiller et représenter dans un procès pénal qui a précédé le procès civil, dans la mesure où l'activité du conseil mandaté portait sur des prétentions en dommages-intérêts et était directement destinée à faire aboutir ces prétentions dans un procès civil ultérieur; il faut en outre que l'activité du conseil fût justifiée, nécessaire et appropriée (ATF 117 II 101 consid. 6a p. 107). c. En l'espèce, les activités du conseil du demandeur avant le dépôt de la demande en justice n'apparaissent pas clairement à teneur des pièces produites, le conseil faisant état de courriers non datés. À teneur des pièces produites, il apparaît que l'activité exercée était également nécessaire pour la rédaction de la demande, de sorte qu'il y a lieu de considérer que la rémunération de celle-ci est déjà comprise dans les dépens. Par conséquent, la demande en indemnisation pour les dépens avant jugement sera rejetée.</w:t>
      </w:r>
    </w:p>
    <w:p>
      <w:r>
        <w:t>A/893/2016 - 23/24 - 15. Le demandeur a enfin conclu à l'octroi de dépens comprenant une équitable indemnité à titre de participation aux honoraires de son conseil pour la présente procédure. Les cantons sont compétents pour fixer le tarif des frais comprenant les dépens (art. 96 CPC en relation avec l’art. 95 al. 3 let. b). À Genève, les art. 84 et 85 du règlement fixant le tarif des frais en matière civile du 22 décembre 2010 (RTFMC - E 1 05.10) détermine notamment le tarif des dépens, applicable aux affaires civiles contentieuses. Le demandeur, représenté par un conseil, obtient en grande partie gain de cause. Il a en conséquence droit à des dépens légèrement réduits (art. 106 al. 2 CPC). La défenderesse sera ainsi condamnée à lui verser une indemnité de CHF 22'181.50 (90% de CHF 22'820.48, plus la TVA et arrondis). 16. Pour le surplus, la procédure est gratuite (art. 114 let. e CPC).</w:t>
      </w:r>
    </w:p>
    <w:p>
      <w:r>
        <w:t>A/893/2016 - 24/24 -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