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20180123_d_lu_u_01 vom 23. Januar 2018</w:t>
      </w:r>
    </w:p>
    <w:p>
      <w:r>
        <w:t>FINMA Versicherungsrecht, 2018-01-23, DE</w:t>
      </w:r>
    </w:p>
    <w:p>
      <w:r>
        <w:rPr>
          <w:b/>
        </w:rPr>
        <w:t xml:space="preserve">Quelle: </w:t>
      </w:r>
      <w:r>
        <w:t>https://mcp.opencaselaw.ch/entscheid/finma_versicherungsrecht_20180123_d_lu_u_01</w:t>
      </w:r>
    </w:p>
    <w:p>
      <w:r>
        <w:t>FR: FINMA_VERSICHERUNGSRECHT 20180123_d_lu_u_01 du 23 janvier 2018</w:t>
      </w:r>
    </w:p>
    <w:p>
      <w:r>
        <w:t>IT: FINMA_VERSICHERUNGSRECHT 20180123_d_lu_u_01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Streitwert Der Streitwert der zuletzt aufrecht erhaltenen Rechtsbegehren beträgt Fr. 5'621.10. Gegen das vorliegende Urteil ist somit die Beschwerde zulässig (Art. 319 lit. a i.V.m. Art. 308 Abs. 2 ZPO). Bezirksgericht Luzern (Fall-Nr. 1B1 17 9)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