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20171208_d_ch_b_01 vom 8. Dezember 2017</w:t>
      </w:r>
    </w:p>
    <w:p>
      <w:r>
        <w:t>FINMA Versicherungsrecht, 2017-12-08, DE</w:t>
      </w:r>
    </w:p>
    <w:p>
      <w:r>
        <w:rPr>
          <w:b/>
        </w:rPr>
        <w:t xml:space="preserve">Quelle: </w:t>
      </w:r>
      <w:r>
        <w:t>https://mcp.opencaselaw.ch/entscheid/finma_versicherungsrecht_20171208_d_ch_b_01</w:t>
      </w:r>
    </w:p>
    <w:p>
      <w:r>
        <w:t>FR: FINMA_VERSICHERUNGSRECHT 20171208_d_ch_b_01 du 8 décembre 2017</w:t>
      </w:r>
    </w:p>
    <w:p>
      <w:r>
        <w:t>IT: FINMA_VERSICHERUNGSRECHT 20171208_d_ch_b_01 del 8 dicembre 2017</w:t>
      </w:r>
    </w:p>
    <w:p>
      <w:pPr>
        <w:pStyle w:val="Heading2"/>
      </w:pPr>
      <w:r>
        <w:t>Erwägungen</w:t>
      </w:r>
    </w:p>
    <w:p>
      <w:r>
        <w:rPr>
          <w:b/>
        </w:rPr>
        <w:t>E. 1</w:t>
      </w:r>
    </w:p>
    <w:p>
      <w:r>
        <w:t>Das Bundesgericht prüft von Amtes wegen und mit freier Kognition, ob ein Rechtsmittel zulässig ist (Art. 29 Abs. 1 BGG; BGE 141 III 395 E. 2.1 mit Hinweisen).</w:t>
      </w:r>
    </w:p>
    <w:p>
      <w:r>
        <w:rPr>
          <w:b/>
        </w:rPr>
        <w:t>E. 1.1</w:t>
      </w:r>
    </w:p>
    <w:p>
      <w:r>
        <w:t>Zu beurteilen ist die Leistungspflicht aus einer Zusatzversicherung zur sozialen Krankenversicherung. Derartige Zusatzversicherungen unterstehen gemäss Art. 2 Abs. 2 des Bundesgesetzes betreffend die Aufsicht über die soziale Krankenversicherung vom 26. September 2014 (KVAG; SR 832.12) dem Bundesgesetz vom 2. April 1908 über den Versicherungsvertrag (Versicherungsvertragsgesetz, VVG; SR 221.229.1). Streitigkeiten aus solchen Versicherungen sind privat- rechtlicher Natur, weshalb als Rechtsmittel an das Bundesgericht die Beschwerde in Zivilsachen gemäss Art. 72 ff. BGG das zulässige Rechtsmittel ist (BGE 138 III 2 E. 1.1; 133 III 439 E. 2.1 mit Hin- weisen).</w:t>
      </w:r>
    </w:p>
    <w:p>
      <w:r>
        <w:rPr>
          <w:b/>
        </w:rPr>
        <w:t>E. 1.2</w:t>
      </w:r>
    </w:p>
    <w:p>
      <w:r>
        <w:t>Das Versicherungsgericht des Kantons Aargau entscheidet ge- mäss § 14 des Einführungsgesetzes des Kantons Aargau zur Schweizerischen Zivilprozessordnung vom 23. März 2010 (EG ZPO AG; SAR 221.200) als einzige kantonale Instanz Streitigkeiten aus Seite 3</w:t>
      </w:r>
    </w:p>
    <w:p>
      <w:r>
        <w:t>Zusatzversicherungen zur sozialen Krankenversicherung im Sinne von Art. 7 ZPO (Art. 75 Abs. 2 lit. a BGG), womit das Streitwerterfordernis (Art. 74 Abs. 1 BGG) nicht gilt (Art. 74 Abs. 2 lit. b BGG; BGE 138 III 2 E. 1.2.2, 799 E. 1.1). Die Beschwerde richtet sich gegen einen End- entscheid (Art. 90 BGG). Der Beschwerdeführer ist mit seinen Anträgen unterlegen (Art. 76 BGG) und die Beschwerdefrist ist einge- halten (Art. 100 BGG). Die Beschwerde ist – unter Vorbehalt hin- reichender Begründung (Art. 42 Abs. 2 i.V.m. Art. 106 Abs. 2 BGG) – zulässig.</w:t>
      </w:r>
    </w:p>
    <w:p>
      <w:r>
        <w:rPr>
          <w:b/>
        </w:rPr>
        <w:t>E. 1.3</w:t>
      </w:r>
    </w:p>
    <w:p>
      <w:r>
        <w:t>Das Bundesgericht wendet das Recht von Amtes wegen an (Art. 106 Abs. 1 BGG). Es ist somit weder an die in der Beschwerde geltend gemachten Argumente noch an die Erwägungen der Vorin- stanz gebunden; es kann eine Beschwerde aus einem anderen als dem angerufenen Grund gutheissen oder eine Beschwerde mit einer von der Argumentation der Vorinstanz abweichenden Begründung ab- weisen. Mit Blick auf die Begründungspflicht der beschwerdeführen- den Partei (Art. 42 Abs. 1 und 2 BGG)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(BGE 140 III 115 E. 2 S. 116; 137 III 580 E. 1.3; 135 III 397 E. 1.4 S. 400).</w:t>
      </w:r>
    </w:p>
    <w:p>
      <w:r>
        <w:rPr>
          <w:b/>
        </w:rPr>
        <w:t>E. 2</w:t>
      </w:r>
    </w:p>
    <w:p>
      <w:r>
        <w:t>Der Beschwerdeführer rügt, die Vorinstanz habe Art. 6 Ziff. 1 EMRK und Art. 29 Abs. 2 BV verletzt, weil sie ohne rechtsgenügliche Be- gründung angenommen habe, dass die Leistungsdauer spätestens zum Zeitpunkt des letzten Tages der Versicherungsdeckung, folglich am 30. April 2012, zu laufen begann.</w:t>
      </w:r>
    </w:p>
    <w:p>
      <w:r>
        <w:rPr>
          <w:b/>
        </w:rPr>
        <w:t>E. 2.1</w:t>
      </w:r>
    </w:p>
    <w:p>
      <w:r>
        <w:t>Nach ständiger Rechtsprechung hat das Gericht seinen Entscheid zwar zu begründen, doch wird nicht gefordert, dass es sich mit allen Parteistandpunkten einlässlich auseinandersetzt und jedes einzelne Vorbringen ausdrücklich widerlegt. Vielmehr kann es sich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das Gericht hat leiten lassen und auf die sich sein Entscheid stützt (Urteil 4A_131/2017 vom 21. September 2017 Seite 4</w:t>
      </w:r>
    </w:p>
    <w:p>
      <w:r>
        <w:t>E. 4.3.3, zur Publikation vorgesehen; BGE 141 III 28 E. 3.2.4 S. 41; 141 V 557 E. 3.2.1; 140 II 262 E. 6.2; je mit Hinweisen).</w:t>
      </w:r>
    </w:p>
    <w:p>
      <w:r>
        <w:rPr>
          <w:b/>
        </w:rPr>
        <w:t>E. 2.2</w:t>
      </w:r>
    </w:p>
    <w:p>
      <w:r>
        <w:t>Die Vorinstanz führte aus, dass der Beschwerdeführer bis am 31. März 2012 bei der Arbeitgeberin angestellt war. Gemäss Art. 13 der Allgemeinen Versicherungsbedingungen (AVB) der Beschwerde- gegnerin erlösche sodann die Versicherungsdeckung für die einzelne versicherte Person 30 Tage nach ihrem Ausscheiden aus dem versicherten Personenkreis, weshalb zu Recht unbestritten sei, dass nur die bis am 30. April 2012 eingetretenen wirtschaftlichen Folgen von Krankheit versichert seien. Hieraus schloss die Vorinstanz, dass der 30. April 2012 der letzte mögliche Tag gewesen sei, an welchem das Ereignis noch hätte eintreten können, um von der Versicherung gedeckt zu sein und somit auch der letzte Tag, an dem die Leistungsdauer von 730 Tagen (innerhalb von 900 Tagen) hätte zu laufen beginnen können. Die Vorinstanz ist damit ihrer Begründungs- pflicht nachgekommen.</w:t>
      </w:r>
    </w:p>
    <w:p>
      <w:r>
        <w:rPr>
          <w:b/>
        </w:rPr>
        <w:t>E. 3</w:t>
      </w:r>
    </w:p>
    <w:p>
      <w:r>
        <w:t>Der Beschwerdeführer erblickt eine Verletzung des Vertrauensprinzips (Art. 2 Abs. 1 ZGB) darin, dass die Vorinstanz in Anwendung von Art. 5.2 i.V.m. 5.3 lit. c AVB davon ausgegangen sei, die Leistungs- pflicht beginne nach Ablauf der Wartefrist, weshalb sie Tage mit reduzierten Leistungen infolge Leistungen Dritter für die Berechnung der Leistungsdauer voll mitgezählt habe. Diese AVB-Klauseln seien ungewöhnlich und deshalb für den global zustimmenden Kunden un- verbindlich.</w:t>
      </w:r>
    </w:p>
    <w:p>
      <w:r>
        <w:rPr>
          <w:b/>
        </w:rPr>
        <w:t>E. 3.1</w:t>
      </w:r>
    </w:p>
    <w:p>
      <w:r>
        <w:t>Die Geltung vorformulierter allgemeiner Geschäftsbedingungen wird gemäss der Rechtsprechung durch die Ungewöhnlichkeitsregel eingeschränkt. Danach sind von der global erklärten Zustimmung zu allgemeinen Vertragsbedingungen alle ungewöhnlichen Klauseln aus- genommen, auf deren Vorhandensein die schwächere oder weniger geschäftserfahrene Partei nicht gesondert aufmerksam gemacht worden ist. Der Verfasser von allgemeinen Geschäftsbedingungen muss nach dem Vertrauensgrundsatz davon ausgehen, dass ein uner- fahrener Vertragspartner ungewöhnlichen Klauseln nicht zustimmt. Die Ungewöhnlichkeit beurteilt sich aus der Sicht des Zustimmenden im Zeitpunkt des Vertragsabschlusses. Für einen Branchenfremden kön- nen deshalb auch branchenübliche Klauseln ungewöhnlich sein. Die Ungewöhnlichkeitsregel kommt jedoch nur dann zur Anwendung, wenn neben der subjektiven Voraussetzung des Fehlens von Bran- chenerfahrung die betreffende Klausel objektiv beurteilt einen ge- Seite 5</w:t>
      </w:r>
    </w:p>
    <w:p>
      <w:r>
        <w:t>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(BGE 138 III 411 E. 3.1; 135 III 1 E. 2.1 S. 7; je mit Hinweisen). Das Bundesgericht prüft die Anwendung der Ungewöhnlichkeitsregel als Rechtsfrage frei (Art. 106 Abs. 1 BGG; BGE 138 III 411 E. 3.4; 133 III 607 E. 2.2 mit Hinweisen).</w:t>
      </w:r>
    </w:p>
    <w:p>
      <w:r>
        <w:rPr>
          <w:b/>
        </w:rPr>
        <w:t>E. 3.2</w:t>
      </w:r>
    </w:p>
    <w:p>
      <w:r>
        <w:t>Es ist unbestritten, dass der streitgegenständliche Versicherungs- vertrag zwischen der (ehemaligen) Arbeitgeberin als Versicherungs- nehmerin und der Beschwerdegegnerin abgeschlossen wurde; der Be- schwerdeführer war als Versicherungsnehmer beim Vertragsschluss nicht beteiligt. Der Beschwerdeführer begründet nicht andeutungs- weise, inwiefern die Arbeitgeberin als unerfahrene und branchenfrem- de Person qualifiziert werden könnte. Folglich ist die Ungewöhnlich- keitsregel nicht anzuwenden. Doch selbst bei Anwendung der Ungewöhnlichkeitsregel könnten die entsprechenden Klauseln weder als subjektiv noch als objektiv unge- wöhnlich beurteilt werden, zumal es der Beschwerdeführer unterlässt, eine Geschäftsfremdheit anhand vergleichbarer Versicherungsver- träge aufzuzeigen und auch nicht ersichtlich ist, inwiefern die Bestim- mungen zu einer wesentlichen Änderung des Vertragscharakters im Sinne vorstehender Erwägungen führen würden. Vielmehr erscheint es naheliegend, dass die Leistungspflicht nach Ablauf der Wartefrist be- ginnt (Art. 5.2 AVB) und Tage, an welchen Dritte geleistet haben, für die Berechnung der Leistungsdauer voll zählen (Art. 5.3 lit. c AVB). Somit kann der Vorinstanz keine Verletzung des Vertrauensprinzips nach Art. 2 Abs. 1 ZGB vorgeworfen werden.</w:t>
      </w:r>
    </w:p>
    <w:p>
      <w:r>
        <w:rPr>
          <w:b/>
        </w:rPr>
        <w:t>E. 4</w:t>
      </w:r>
    </w:p>
    <w:p>
      <w:r>
        <w:t>Der Beschwerdeführer rügt, die Vorinstanz habe Art. 97 Abs. 1 OR i.V.m. Art. 101 Abs. 1 OR verletzt, indem sie die Arbeitgeberin gegen- über der Beschwerdegegnerin nicht als Hilfsperson betrachtet hat und demnach eine Schadenersatzpflicht aufgrund einer allfälligen Ver- letzung der Informationspflicht durch die Arbeitgeberin verneinte.</w:t>
      </w:r>
    </w:p>
    <w:p>
      <w:r>
        <w:rPr>
          <w:b/>
        </w:rPr>
        <w:t>E. 4.1</w:t>
      </w:r>
    </w:p>
    <w:p>
      <w:r>
        <w:t>Bei Kollektivverträgen, die anderen Personen als dem Versiche- rungsnehmer einen direkten Leistungsanspruch verleihen, ist der Seite 6</w:t>
      </w:r>
    </w:p>
    <w:p>
      <w:r>
        <w:t>Versicherungsnehmer verpflichtet, diese Personen über den wesent- lichen Inhalt des Vertrages sowie dessen Änderungen und Auflösung zu unterrichten. Der Versicherer stellt dem Versicherungsnehmer die zur Information erforderlichen Unterlagen zur Verfügung (Art. 3 Abs. 3 VVG). Soweit das VVG keine besonderen Vorschriften enthält, finden auf den Versicherungsvertrag die Bestimmungen des Obligationen- rechts Anwendung (Art. 100 Abs. 1 VVG). Dies gilt auch für Art. 101 Abs. 1 OR, wonach derjenige, der die Erfüllung einer Schuldpflicht oder die Ausübung eines Rechtes aus einem Schuldverhältnis, wenn auch befugterweise, durch eine Hilfsperson vornehmen lässt, dem andern den Schaden zu ersetzen hat, den die Hilfsperson in Ausübung ihrer Verrichtungen verursacht.</w:t>
      </w:r>
    </w:p>
    <w:p>
      <w:r>
        <w:rPr>
          <w:b/>
        </w:rPr>
        <w:t>E. 4.2</w:t>
      </w:r>
    </w:p>
    <w:p>
      <w:r>
        <w:t>Die Vorinstanz hat zu Recht ausgeführt, dass einzig die (ehe- malige) Arbeitgeberin als Versicherungsnehmerin gesetzlich (Art. 3 Abs. 3 VVG) verpflichtet war, den versicherten Beschwerdeführer über die Vertragsauflösung und eine allfällige Möglichkeit des Übertritts in eine Einzelversicherung zu informieren. Wie die Vorinstanz zudem zu- treffend erwogen hat, verpflichten auch Art. 20.6 und Art. 23 AVB einzig die Versicherungsnehmerin, die aus dem Unternehmen aus- tretenden Arbeitnehmer spätestens am letzten Arbeitstag schriftlich über ihr Übertrittsrecht und die entsprechende Frist zu informieren. Mangels einer entsprechenden gesetzlichen oder vertraglichen Infor- mationspflicht der Beschwerdegegnerin gegenüber dem Beschwerde- führer fehlt es schon an einer delegierbaren Schuldpflicht im Sinne von Art. 101 Abs. 1 OR. Folglich kann der Beschwerdeführer aus dieser Bestimmung keine Verantwortlichkeit der Beschwerdegegnerin für eine allfällige Verletzung der Informationspflicht durch die Arbeit- geberin ableiten. Demnach ist der Vorinstanz keine unrichtige Anwendung von Art. 97 Abs. 1 i.V.m. Art. 101 Abs. 1 OR vorzuwerfen. Damit erübrigt es sich, auf die Rügen zur Subeventualbegründung der Vorinstanz einzugehen (Verletzung des Vertrauensprinzips sowie von Art. 33 VVG), wonach ein Übertritt in die Einzeltaggeldversicherung nicht möglich gewesen wäre.</w:t>
      </w:r>
    </w:p>
    <w:p>
      <w:r>
        <w:rPr>
          <w:b/>
        </w:rPr>
        <w:t>E. 5</w:t>
      </w:r>
    </w:p>
    <w:p>
      <w:r>
        <w:t>Der Beschwerdeführer bringt vor, die Vorinstanz habe seinen An- spruch auf unentgeltliche Rechtspflege (Art. 29 Abs. 3 BV und Art. 117 ZPO) verletzt, indem sie sein Gesuch um Gewährung der unentgelt- lichen Rechtspflege abwies. Seite 7</w:t>
      </w:r>
    </w:p>
    <w:p>
      <w:r>
        <w:rPr>
          <w:b/>
        </w:rPr>
        <w:t>E. 5.1</w:t>
      </w:r>
    </w:p>
    <w:p>
      <w:r>
        <w:t>Nach Art. 29 Abs. 3 BV hat jede Person, die nicht über die er- forderlichen Mittel verfügt, Anspruch auf unentgeltliche Rechtspflege, wenn ihr Rechtsbegehren nicht aussichtslos erscheint. Mit Art. 117 ff. ZPO wird der als verfassungsrechtliche Minimalgarantie in Art. 29 Abs. 3 BV verankerte Anspruch auf unentgeltliche Rechtspflege und Verbeiständung auf Gesetzesstufe geregelt (BGE 138 III 217 E. 2.2.3 mit Hinweisen). Die Voraussetzungen der unentgeltlichen Rechts- pflege gemäss Art. 117 f. ZPO stimmen dabei mit denjenigen der Mini- malgarantie von Art. 29 Abs. 3 BV überein, deren Einhaltung das Bun- desgericht in rechtlicher Hinsicht mit freier Kognition prüft (BGE 142 III 131 E. 4.1; Urteile 4D_62/2015 vom 9. März 2016 E. 3, nicht publ. in: BGE 142 III 138; 4A_384/2015 vom 24. September 2015 E. 3 mit Hinweisen). Nach der bundesgerichtlichen Rechtsprechung sind Begehren als aus- sichtslos anzusehen, bei denen die Gewinnaussichten beträchtlich geringer sind als die Verlustgefahren und die deshalb kaum als ernst- haft bezeichnet werden können. Dagegen gilt ein Begehren nicht als aussichtslos, wenn sich Gewinnaussichten und Verlustgefahren un- 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 gende Erfolgsaussichten bestehen, beurteilt sich aufgrund einer vor- läufigen und summarischen Prüfung der Prozessaussichten, wobei die Verhältnisse im Zeitpunkt der Einreichung des Gesuchs massgebend sind (BGE 142 III 138 E. 5.1; 139 III 475 E. 2.2; 138 III 217 E. 2.2.4).</w:t>
      </w:r>
    </w:p>
    <w:p>
      <w:r>
        <w:rPr>
          <w:b/>
        </w:rPr>
        <w:t>E. 5.2</w:t>
      </w:r>
    </w:p>
    <w:p>
      <w:r>
        <w:t>Wie vorstehend erwogen, ist die Leistungsdauer für die Aus- richtung von Krankentaggelder abgelaufen. Zudem kann die Be- schwerdegegnerin aufgrund klarer Rechtslage nicht für eine allfällige Informationspflichtverletzung durch die Arbeitgeberin verantwortlich gemacht werden. Der Vorinstanz ist demnach keine Verletzung von Art. 29 Abs. 3 BV und Art. 117 ZPO vorzuwerfen, wenn sie angesichts dieser Rechtslage die Verlustgefahren als weitaus grösser als die Gewinnaussichten betrachtete und dementsprechend das Gesuch um Gewährung der unentgeltlichen Rechtspflege zufolge Aussichtslosig- keit abwies. Seite 8</w:t>
      </w:r>
    </w:p>
    <w:p>
      <w:r>
        <w:rPr>
          <w:b/>
        </w:rPr>
        <w:t>E. 6</w:t>
      </w:r>
    </w:p>
    <w:p>
      <w:r>
        <w:t>Die Beschwerde ist abzuweisen, soweit darauf eingetreten werden kann. Da sich die Beschwerde von vornherein als aussichtslos erweist, kann dem Gesuch um unentgeltliche Rechtspflege für das bundes- gerichtliche Verfahren nicht entsprochen werden (vgl. Art. 64 Abs. 1 und 2 BGG). Die Gerichtskosten sind dem unterliegenden Beschwer- deführer aufzuerlegen (Art. 66 Abs. 1 BGG). Eine Parteientschädigung ist der Beschwerdegegnerin mangels Aufwands für das bundes- gerichtliche Verfahren nicht zuzusprechen (Art.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