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20171204_f_ch_b_01 vom 4. Dezember 2017</w:t>
      </w:r>
    </w:p>
    <w:p>
      <w:r>
        <w:t>FINMA Versicherungsrecht, 2017-12-04, FR</w:t>
      </w:r>
    </w:p>
    <w:p>
      <w:r>
        <w:rPr>
          <w:b/>
        </w:rPr>
        <w:t xml:space="preserve">Quelle: </w:t>
      </w:r>
      <w:r>
        <w:t>https://mcp.opencaselaw.ch/entscheid/finma_versicherungsrecht_20171204_f_ch_b_01</w:t>
      </w:r>
    </w:p>
    <w:p>
      <w:r>
        <w:t>FR: FINMA_VERSICHERUNGSRECHT 20171204_f_ch_b_01 du 4 décembre 2017</w:t>
      </w:r>
    </w:p>
    <w:p>
      <w:r>
        <w:t>IT: FINMA_VERSICHERUNGSRECHT 20171204_f_ch_b_01 del 4 dicembre 2017</w:t>
      </w:r>
    </w:p>
    <w:p>
      <w:pPr>
        <w:pStyle w:val="Heading2"/>
      </w:pPr>
      <w:r>
        <w:t>Erwägungen</w:t>
      </w:r>
    </w:p>
    <w:p>
      <w:r>
        <w:rPr>
          <w:b/>
        </w:rPr>
        <w:t>E. 1</w:t>
      </w:r>
    </w:p>
    <w:p>
      <w:r>
        <w:t>Interjeté en temps utile (art. 100 al. 1 en lien avec les art. 45 al. 1 et art. 46 al. 1 let. a LTF) par la défenderesse qui a succombé dans ses conclusions (art. 76 LTF), dirigé contre une décision finale (art. 90 LTF) prise sur recours par le tribunal supérieur du canton (art. 75 LTF) dans une affaire civile (art. 72 al. 1 LTF) dont la valeur litigieuse excède 30'000 fr. (art. 74 al. 1 let. b LTF), le recours en matière civile est recevable au regard de ces dispositions.</w:t>
      </w:r>
    </w:p>
    <w:p>
      <w:r>
        <w:rPr>
          <w:b/>
        </w:rPr>
        <w:t>E. 2.1</w:t>
      </w:r>
    </w:p>
    <w:p>
      <w:r>
        <w:t>Le recours en matière civile peut être exercé pour violation du droit fédéral (art. 95 let. a LTF), y compris le droit constitutionnel (ATF 136 II 304 consid. 2.4 p. 313). Le Tribunal fédéral applique le droit d'office (art. 106 al. 1 LTF). Il n'est donc limité ni par les argu- ments soulevés dans le recours, ni par la motivation retenue par l'autorité précédente; il peut admettre un recours pour un autre motif que ceux qui ont été invoqués et il peut rejeter un recours en adoptant une argumentation différente de celle de l'autorité précédente (ATF 137 II 313 consid. 1.4; 135 III 397 consid. 1.4 p. 400). Compte tenu de l'exigence de motivation contenue à l'art. 42 al. 1 et 2 LTF, sous peine d'irrecevabilité (art. 108 al. 1 let. b LTF), le Tribunal fédéral n'examine en principe que les griefs invoqués, sauf en cas d'erreurs Page 6</w:t>
      </w:r>
    </w:p>
    <w:p>
      <w:r>
        <w:t>juridiques manifestes. Il n'est pas tenu de traiter, comme le ferait une autorité de première instance, toutes les questions juridiques qui se posent, lorsque celles-ci ne sont plus discutées devant lui (ATF 140 III 115 consid. 2; 137 III 580 consid. 1.3). Par ailleurs, par exception à la règle selon laquelle il applique le droit d'office, il n'examine la violation d'un droit constitutionnel que si le grief a été invoqué et motivé de façon détaillée (art. 106 al. 2 LTF; ATF 135 III 397 consid. 1.4 in fine).</w:t>
      </w:r>
    </w:p>
    <w:p>
      <w:r>
        <w:rPr>
          <w:b/>
        </w:rPr>
        <w:t>E. 2.2</w:t>
      </w:r>
    </w:p>
    <w:p>
      <w:r>
        <w:t>Le Tribunal fédéral statue sur la base des faits établis par l'auto- rité précédente (art. 105 al. 1 LTF). Il ne peut rectifier ou compléter les constatations de l'autorité précédente que si elles sont manifestement inexactes ou découlent d'une violation du droit au sens de l'art. 95 LTF (art. 105 al. 2 LTF). «Manifestement inexactes» signifie ici «arbi- traires» (ATF 140 III 115 consid. 2 p. 117; 135 III 397 consid. 1.5). Encore faut-il que la correction du vice soit susceptible d'influer sur le sort de la cause (art. 97 al. 1 LTF). La critique de l'état de fait retenu est soumise au principe strict de l'allégation énoncé par l'art. 106 al. 2 LTF (ATF 140 III 264 consid. 2.3 p. 266 et les références). La partie qui entend attaquer les faits constatés par l'autorité précé- dente doit expliquer clairement et de manière circonstanciée en quoi ces conditions seraient réalisées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(ATF 140 III 86 consid. 2 p. 90). Si la critique ne satisfait pas à ces exigences, les allégations relatives à un état de fait qui s'écarterait de celui de la décision attaquée ne pourront pas être prises en considération (ATF 140 III 16 consid. 1.3.1 p. 18). Aucun fait nouveau ni preuve nouvelle ne peut être présenté à moins de résulter de la décision de l'autorité précé- dente (art. 99 al. 1 LTF). La recourante méconnaît ces principes lorsqu'elle présente son propre exposé des faits, sans faire valoir d'arbitraire à l'encontre de ceux retenus par la cour cantonale. Il n'en sera donc pas tenu compte.</w:t>
      </w:r>
    </w:p>
    <w:p>
      <w:r>
        <w:rPr>
          <w:b/>
        </w:rPr>
        <w:t>E. 3</w:t>
      </w:r>
    </w:p>
    <w:p>
      <w:r>
        <w:t>août 2010 consid. 2.4.1; 4A_186/2009 du 3 mars 2010 consid. 6.2.2. et 6.3). L'art. 40 LCA permet à l'assureur de refuser ses prestations et de se départir du contrat lorsque «l’ayant droit ou son représentant, dans le but d’induire l’assureur en erreur, dissimule ou déclare inexactement des faits qui auraient exclu ou restreint l’obligation de l’assureur». S'agissant d'un moyen libératoire, il incombe à l'assureur de prouver les faits permettant l'application de l'art. 40 LCA (ATF 130 III 321 consid. 3.1 p. 323; arrêts 4A_643/2016 du 7 avril 2017 consid. 3.2; 4A_333/2016 du 18 août 2016 consid. 3.3). La jurisprudence admet que le degré de la preuve de l'intention frauduleuse est réduit à la vraisemblance prépondérante (arrêts 4A_432/2015 du 8 février 2016 consid. 2.2; 4A_382/2014 du 3 mars 2015 consid. 5.3).</w:t>
      </w:r>
    </w:p>
    <w:p>
      <w:r>
        <w:rPr>
          <w:b/>
        </w:rPr>
        <w:t>E. 3.1</w:t>
      </w:r>
    </w:p>
    <w:p>
      <w:r>
        <w:t>Selon l'art. 8 CC, le demandeur doit prouver les faits qui fondent sa prétention, tandis que sa partie adverse doit prouver les faits qui entraînent la réduction ou l'extinction du droit (faits destructeurs), ou empêchent sa naissance (faits dirimants) (ATF 141 III 241 consid. 3.1 p. 242; 139 III 13 consid. 3.1.3.1 p. 17). Conformément à ces principes qui sont également applicables dans le domaine du contrat d'assu- rance, il incombe à l'assuré ou à l'ayant droit d'alléguer et de prouver l'existence d'un contrat d'assurance, la survenance du sinistre assuré ainsi que l'ampleur de sa prétention (ATF 130 III 321 consid. 3.1 p. 323). Lorsque la preuve stricte est impossible à rapporter (état de nécessité en matière de preuve), le degré de preuve requis est réduit à la vraisemblance prépondérante. Tel est fréquemment le cas s'agis- sant de la preuve de la survenance du sinistre, en particulier en matière d'assurance-vol (ATF 130 III 321 consid. 3.2 et 3.3 p. 325; arrêt 4A_671/2010 du 25 mars 2011 consid. 2.3 et les arrêts cités). L'art. 8 CC confère à l'assureur le droit à la contre-preuve; il peut donc apporter des éléments propres à créer un doute et à ébranler la vrai- semblance prépondérante que l'ayant droit s'efforce d'établir. Le juge doit procéder à une appréciation d'ensemble des éléments qui lui sont apportés et dire s'il retient qu'une vraisemblance prépondérante a été établie (ATF 130 III 321 consid. 3.4 p. 326 s.; arrêts 4A_180/2010 du</w:t>
      </w:r>
    </w:p>
    <w:p>
      <w:r>
        <w:rPr>
          <w:b/>
        </w:rPr>
        <w:t>E. 3.2</w:t>
      </w:r>
    </w:p>
    <w:p>
      <w:r>
        <w:t>En l'occurrence, il n'est pas contesté que le véhicule assuré a été accidenté et qu'il a subi un dommage total. L'expert mandaté Page 8</w:t>
      </w:r>
    </w:p>
    <w:p>
      <w:r>
        <w:t>par la compagnie d'assurance a indiqué dans son rapport du 10 avril 2007 que l'indemnité calculée d'après la première phrase de l'art. 204.3 CGA, soit d'après la valeur vénale majorée du véhicule, se montait à 38'809 fr. (55,6% du prix catalogue de 69'800 fr.). La compagnie d'assurance ne conteste pas cette valeur. L'assurée a dès lors satisfait à son obligation d'alléguer et de prouver les faits qui fondent sa prétention. La compagnie d'assurance objecte cependant que cette indemnité est supérieure «au prix payé pour l'acquisition du véhicule», de sorte que seul ce dernier serait dû à l'assurée, confor- mément à la deuxième phrase de l'art. 204.3 CGA. S'agissant d'un élément conduisant à la réduction de l'indemnité d'assurance, le fardeau de la preuve revient à la compagnie d'assurance, en appli- cation de l'art. 8 CC. L'assurée a produit le contrat de vente du véhicule. L'art. 39 al. 1 LCA impose à l'ayant droit de fournir, à la demande de l'assureur, tout renseignement sur les faits à sa connais- sance qui peuvent servir à déterminer les circonstances dans les- quelles le sinistre s'est produit ou à fixer les conséquences du sinistre. La compagnie d'assurance fait valoir que les renseignements donnés quant à l'acquisition du véhicule sont inexacts et réalisent les pré- visions de l'art. 40 LCA. Il lui incombe de prouver que les conditions d'application de cette disposition sont réalisées. Ainsi, il incombait à la compagnie d'assurance de prouver que le prix payé pour l'acquisition du véhicule était inférieur à 38'809 fr. (valeur vénale majorée), afin de réduire l'étendue de l'indemnité due en vertu de l'art. 204.3 CGA, respectivement de prouver que les renseigne- ments donnés dans le contrat de vente remis par l'assurée étaient inexacts et réalisaient les prévisions de l'art. 40 LCA, afin de refuser toute prestation. Si la preuve se rapporte en soi à des points distincts (preuve d'un prix d'acquisition inférieur à la valeur vénale majorée, respectivement preuve de la dissimulation de faits dans le but d'in- duire en erreur), le fardeau de l'allégation et de la preuve incombait dans les deux cas à la compagnie d'assurance. La cour cantonale n'a donc pas méconnu l'art. 8 CC. Quant au degré de preuve appliqué par la cour cantonale (vraisemblance prépondérante), il n'est pas discuté par la compagnie d'assurance. Il reste à examiner le second grief relatif à l'appréciation des preuves.</w:t>
      </w:r>
    </w:p>
    <w:p>
      <w:r>
        <w:rPr>
          <w:b/>
        </w:rPr>
        <w:t>E. 4.1</w:t>
      </w:r>
    </w:p>
    <w:p>
      <w:r>
        <w:t>La recourante prétend que la cour cantonale aurait versé dans l'arbitraire en appréciant les preuves à sa disposition. Sachant que le Page 9</w:t>
      </w:r>
    </w:p>
    <w:p>
      <w:r>
        <w:t>contrat du 27 août 2006 indiquait un kilométrage erroné, que ce n'était pas C.________ qui avait vendu le véhicule à l'assurée comme mentionné dans ce document, mais D.________ qui le lui avait offert, et que le véhicule avait, plusieurs mois avant son rachat, une valeur EUROTAX de 28'634 fr. seulement, il serait insoutenable de retenir le prix d'acquisition de 38'000 fr. figurant dans ce document.</w:t>
      </w:r>
    </w:p>
    <w:p>
      <w:r>
        <w:rPr>
          <w:b/>
        </w:rPr>
        <w:t>E. 4.2</w:t>
      </w:r>
    </w:p>
    <w:p>
      <w:r>
        <w:t>Le Tribunal fédéral ne revoit l'appréciation des preuves que sous l'angle de l'arbitraire (ATF 136 III 148 consid. 2.4 p. 150). Il n'intervient du chef de l'art. 9 Cst. que si le juge du fait n'a manifestement pas compris le sens et la portée d'un moyen de preuve, a omis sans raisons objectives de tenir compte des preuves pertinentes ou a effec- tué, sur la base des éléments recueillis, des déductions insoutenables. L'arbitraire ne résulte pas du seul fait qu'une autre solution serait défendable, voire préférable (ATF 140 III 264 consid. 2.3 p. 266; 136 III 552 consid. 4.2).</w:t>
      </w:r>
    </w:p>
    <w:p>
      <w:r>
        <w:rPr>
          <w:b/>
        </w:rPr>
        <w:t>E. 4.3</w:t>
      </w:r>
    </w:p>
    <w:p>
      <w:r>
        <w:t>En l'espèce, la cour cantonale a concédé que le contrat en question donnait de fausses indications quant au kilométrage, quant à l'acte d'acquisition et au prix payé, puisque c'était en fait D.________ qui avait acquis le véhicule pour l'offrir à l'assurée; cela ne signifiait pas pour autant que le prix de vente figurant sur ce document soit faux. Les éléments relevés par le Ministère public à l'appui de son ordonnance de classement accréditaient la thèse de sa véracité. Ainsi en était-il du fait que la réparation de la voiture à la suite de l'accident de novembre 2005 avait été évaluée à 29'000 fr. environ et qu'il était peu vraisemblable que F.________ ait accepté de se débarrasser du véhicule sans compensation aucune, de sorte qu'il était plausible que l'épave lui ait été rachetée 5'000 fr. en plus de la compensation de travaux effectués par ailleurs auprès du garage de D.________. A cela s'ajoutait que l'évaluation de la valeur du véhicule à la suite de l'accident de novembre 2005 était de 35'100 fr. Ce raisonnement résiste au grief d'arbitraire. Les indications erronées quant au kilométrage du véhicule et à la personne de l'acquéreur dans le contrat de vente querellé ne discréditent pas l'entier de ce docu- ment. L'assurée avait par ailleurs pris soin de faire annoter sous la rubrique correspondante de la proposition d'assurance le nombre correct de kilomètres qu'affichait le véhicule au compteur; par ailleurs, la personne de l'acquéreur – qu'il s'agisse de l'assurée ou de D.________, qui lui a ensuite offert le véhicule – n'avait aucun impact sur l'indemnité d'assurance, la recourante ne discutant pas le raisonnement selon lequel à défaut d'acquisition à titre onéreux, il Page 10</w:t>
      </w:r>
    </w:p>
    <w:p>
      <w:r>
        <w:t>fallait s'en tenir soit au prix payé par le donateur, soit à la valeur vénale majorée. Quant au fait que le prix d'achat du véhicule était bien supérieur à l'offre comparative selon le barème «EUROTAX jaune (11.2005)», soit 28'634 fr., il n'est pas décisif. S'il peut certes paraître malencontreux d'avoir choisi de réparer le véhicule – pour un coût estimé à 29'000 fr., montant auquel s'ajoutait le prix de rachat de l'épave – plutôt que d'en acquérir un autre sur le marché de l'occasion à un prix moindre, cette décision n'est, a priori, pas le fait de l'assurée et a pu être influencée par des motifs d'opportunité, de sorte qu'on ne saurait lui reprocher d'avoir déclaré un prix erroné dans le but d'induire la recourante en erreur. Il s'ensuit que le second grief de la recourante, tiré d'une appréciation arbitraire des preuves pertinentes, est pareillement infondé.</w:t>
      </w:r>
    </w:p>
    <w:p>
      <w:r>
        <w:rPr>
          <w:b/>
        </w:rPr>
        <w:t>E. 4.4</w:t>
      </w:r>
    </w:p>
    <w:p>
      <w:r>
        <w:t>La recourante ne soulève aucun autre grief, ce qui clôt toute discussion (cf. consid. 2.1 supra).</w:t>
      </w:r>
    </w:p>
    <w:p>
      <w:r>
        <w:rPr>
          <w:b/>
        </w:rPr>
        <w:t>E. 4.5</w:t>
      </w:r>
    </w:p>
    <w:p>
      <w:r>
        <w:t>En définitive, la Cour d'appel n'a pas enfreint le droit fédéral en retenant que la recourante doit à l'assurée une indemnité de 38'000 fr. correspondant au «prix payé pour l'acquisition du véhicule», puisqu'il est inférieur à la valeur vénale majorée du véhicule (38'809 fr.) et prévaut sur celle-ci, selon la deuxième phrase de l'art. 204.3 CGA.</w:t>
      </w:r>
    </w:p>
    <w:p>
      <w:r>
        <w:rPr>
          <w:b/>
        </w:rPr>
        <w:t>E. 5</w:t>
      </w:r>
    </w:p>
    <w:p>
      <w:r>
        <w:t>Le recours doit être rejeté. Partant, la recourante supportera les frais judiciaires et versera à l'intimée une indemnité pour ses frais d'avocat (art. 66 al. 1 et art. 68 al. 1 et 2 LTF).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