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20171102_f_ch_b_01 vom 2. November 2017</w:t>
      </w:r>
    </w:p>
    <w:p>
      <w:r>
        <w:t>FINMA Versicherungsrecht, 2017-11-02, FR</w:t>
      </w:r>
    </w:p>
    <w:p>
      <w:r>
        <w:rPr>
          <w:b/>
        </w:rPr>
        <w:t xml:space="preserve">Quelle: </w:t>
      </w:r>
      <w:r>
        <w:t>https://mcp.opencaselaw.ch/entscheid/finma_versicherungsrecht_20171102_f_ch_b_01</w:t>
      </w:r>
    </w:p>
    <w:p>
      <w:r>
        <w:t>FR: FINMA_VERSICHERUNGSRECHT 20171102_f_ch_b_01 du 2 novembre 2017</w:t>
      </w:r>
    </w:p>
    <w:p>
      <w:r>
        <w:t>IT: FINMA_VERSICHERUNGSRECHT 20171102_f_ch_b_01 del 2 novembre 2017</w:t>
      </w:r>
    </w:p>
    <w:p>
      <w:pPr>
        <w:pStyle w:val="Heading2"/>
      </w:pPr>
      <w:r>
        <w:t>Erwägungen</w:t>
      </w:r>
    </w:p>
    <w:p>
      <w:r>
        <w:rPr>
          <w:b/>
        </w:rPr>
        <w:t>E. 1</w:t>
      </w:r>
    </w:p>
    <w:p>
      <w:r>
        <w:t>Les conditions de recevabilité du recours en matière civile sont réali- sées sur le principe, notamment sous l'angle de la valeur litigieuse minimale de 30'000 fr. (art. 74 al. 1 let. b LTF) et du délai pour recourir (art. 100 al. 1 LTF en lien avec l'art. 45 al. 1 LTF). Demeure réservé l'examen des griefs particuliers.</w:t>
      </w:r>
    </w:p>
    <w:p>
      <w:r>
        <w:rPr>
          <w:b/>
        </w:rPr>
        <w:t>E. 2</w:t>
      </w:r>
    </w:p>
    <w:p>
      <w:r>
        <w:t>LTF, sous peine d'irrecevabilité (art. 108 al. 1 let. b LTF), le Tribunal fédéral n'examine en principe que les griefs invoqués, sauf en cas d'erreurs juridiques manifestes. Il n'est pas tenu de traiter, comme le ferait une autorité de première instance, toutes les questions juridi- ques qui se posent, lorsque celles-ci ne sont plus discutées devant lui (ATF 141 III 86 consid. 2; 140 III 115 consid. 2; 137 III 580 consid. 1.3). Le Tribunal fédéral statue sur la base des faits établis par l'autorité précédente (art. 105 al. 1 LTF). Il ne peut rectifier ou compléter les constatations de l'autorité précédente que si elles sont manifestement inexactes ou découlent d'une violation du droit au sens de l'art. 95 LTF (art. 105 al. 2 LTF). "Manifestement inexactes" signifie ici "arbitraires" (ATF 140 III 115 consid. 2 p. 117; 135 III 397 consid. 1.5). Encore faut-il que la correction du vice soit susceptible d'influer sur le sort de la cause (art. 97 al. 1 LTF). La critique de l'état de fait retenu est sou- mise au principe strict de l'allégation énoncé par l'art. 106 al. 2 LTF (ATF 140 III 264 consid. 2.3 p. 266 et les références). La partie qui entend attaquer les faits constatés par l'autorité précé- dente doit expliquer clairement et de manière circonstanciée en quoi ces conditions seraient réalisées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 Aucun fait nouveau ni preuve nouvelle ne peut être présenté à moins de résulter de la décision de l'autorité précé- dente (art. 99 al. 1 LTF).</w:t>
      </w:r>
    </w:p>
    <w:p>
      <w:r>
        <w:rPr>
          <w:b/>
        </w:rPr>
        <w:t>E. 3</w:t>
      </w:r>
    </w:p>
    <w:p>
      <w:r>
        <w:t>Les parties ont conclu un contrat d'assurance, régi par la LCA (RS 221.229.1). Les conditions générales incorporées à ce contrat prévoient notamment que l'intimée couvrira les prétentions contre l'assuré découlant de dommages et défauts aux ouvrages qui sont réalisés "sur la base de travaux de planification des assurés ou sous Page 6</w:t>
      </w:r>
    </w:p>
    <w:p>
      <w:r>
        <w:t>leur direction" (article 3 let. a ch. 1 CGA). Il ressort des constatations de la cour cantonale que la recourante – qui est intervenue comme entrepreneur général vis-à-vis des acquéreurs de la promotion immobilière de ... – a dû assumer les coûts de réfection des malfaçons dont l'entreprise qu'elle avait chargée de l'exécution des travaux d'étanchéité s'est rendue responsable. Si seul l'article 3 let. a ch. 1 CGA déterminait la couverture d'assurance, le risque assuré serait réalisé dans la mesure où la recourante a assumé la direction des travaux en question, ce qui entraînerait en principe l'obligation pour l'intimée de payer la prestation d'assurance. L'autorité cantonale a toutefois débouté la recourante, considérant que l'on se trouvait dans le cas d'exclusion prévu à l'article 1 let. b ch. 7 CGA. Le litige porte sur l'interprétation de cette clause.</w:t>
      </w:r>
    </w:p>
    <w:p>
      <w:r>
        <w:rPr>
          <w:b/>
        </w:rPr>
        <w:t>E. 4</w:t>
      </w:r>
    </w:p>
    <w:p>
      <w:r>
        <w:t>Selon la jurisprudence, les dispositions d'un contrat d'assurance, de même que les conditions générales qui y ont été expressément incor- porées, doivent être interprétées selon les principes qui gouvernent l'interprétation des contrats (ATF 135 III 410 consid. 3.2 p. 412).</w:t>
      </w:r>
    </w:p>
    <w:p>
      <w:r>
        <w:rPr>
          <w:b/>
        </w:rPr>
        <w:t>E. 4.1</w:t>
      </w:r>
    </w:p>
    <w:p>
      <w:r>
        <w:t>En présence d'un litige sur l'interprétation d'une clause contrac- tuelle,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125 III 263 consid. 4c; 118 II 365 consid. 1; arrêts 4A_200/2015 du 3 septembre 2015 consid. 4.1.1; 4A_65/2012 du 21 mai 2012 consid. 10.2). La recherche de la volonté réelle des parties est qualifiée d'interprétation subjective (ATF 131 III 606 consid. 4.1 p. 611; 125 III 305 consid. 2b p. 308). Déterminer ce qu'un cocontractant savait et voulait au moment de conclure relève des constatations de fait qui lient le Tribunal fédéral conformément à l'art. 105 LTF (ATF 132 III 268 consid. 2.3.2; 131 III 606 consid. 4.1 p. 611; 128 III 419 consid. 2.2 p. 422). Page 7</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p. 274/275, 626 consid. 3.1 p. 632). Ce principe permet d'imputer à une partie le sens objectif de sa déclaration ou de son comportement, même si celui-ci ne correspond pas à sa volonté intime (ATF 130 III 417 consid. 3.2 p. 424 et les arrêts cités). A cet égard, le juge part en premier lieu de la lettre du contrat. En principe, les expressions et termes choisis par les cocontractants doi- vent être compris dans leur sens objectif (ATF 131 III 606 consid. 4.2 p. 611). Toutefois, il ressort de l'art. 18 al. 1 CO que le sens d'un texte, même clair, n'est pas forcément déterminant. Même si la teneur d'une clause contractuelle paraît limpide à première vue, il peut résul- ter d'autres circonstances que le texte de la clause litigieuse ne restitue pas exactement le sens de l'accord conclu (ATF 136 III 86 consid. 3.2.1 p. 188). Ainsi, cette interprétation s'effectue non seule- ment d'après le texte et le contexte des déclarations, mais également sur le vu des circonstances qui les ont précédées et accompagnées (ATF 135 III 295 consid. 5.2 p. 302; 132 III 626 consid. 3.1. in fine; 131 III 377 consid. 4.2.1), à l'exclusion des circonstances postérieures (ATF 135 III 295 consid. 5.2 p. 302; 133 III 61 consid. 2.2.1 p. 67; 132 III 626 consid. 3.1). Cela étant, il n'y a pas lieu de s'écarter du sens littéral du texte adopté par les cocontractants lorsqu'il n'existe aucune raison sérieuse de penser qu'il ne correspond pas à leur volonté (ATF 136 III 186 consid. 3.2.1). L'application du principe de la confiance est une question de droit que le Tribunal fédéral peut exa- miner d'office (art. 106 al. 1 LTF); cependant, pour trancher cette question, il doit se fonder sur le contenu des manifestations de volonté et sur les circonstances, dont la constatation relève du fait (ATF 135 III 410 consid. 3.2). Page 8</w:t>
      </w:r>
    </w:p>
    <w:p>
      <w:r>
        <w:t>Lorsqu'il présente des conditions générales au moment de conclure, l'assureur manifeste la volonté de s'engager selon la teneur de ces conditions. Si une volonté réelle et commune des parties contrac- tantes n'a pas été constatée, comme c'est le cas en l'espèce, il convient de vérifier comment les destinataires de ces déclarations de volonté pouvaient les comprendre de bonne foi, en recourant à l'inter- prétation objective des termes figurant dans les conditions générales (ATF 135 III 410 consid. 3.2 p. 413 et l'arrêt cité).</w:t>
      </w:r>
    </w:p>
    <w:p>
      <w:r>
        <w:rPr>
          <w:b/>
        </w:rPr>
        <w:t>E. 4.2</w:t>
      </w:r>
    </w:p>
    <w:p>
      <w:r>
        <w:t>Si l'interprétation selon le principe de la confiance ne permet pas de dégager le sens de clauses ambiguës, celles-ci sont à interpréter contre l'assureur qui les a rédigées, en vertu de la règle "in dubio contra assicuratorem" (ATF 133 III 61 consid. 2.2.2.3 p. 69; 126 V 499 consid. 3b; 124 III 155 consid. 1b p. 158; 122 III 118 consid. 2a p. 121; 119 II 368 consid. 4b p. 373). L'art. 33 LCA, en tant qu'il prévoit que les clauses d'exclusion sont opposables à l'assuré uniquement si elles sont rédigées de façon précise et non équivoque, en est une concré- tisation (ATF 115 II 264 consid. 5a p. 269; arrêt 5C.134/2002 du 17 septembre 2002 consid. 3.1). Ainsi, quand l'assureur entend appor- ter des restrictions ou des exceptions, il lui appartient de le dire claire- ment (ATF 133 III 675 consid. 3.3 p. 682).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 Pour que cette règle trouve à s'appliquer, il ne suffit pas que les parties soient en litige sur la signification à donner à une déclaration; encore faut-il que celle-ci puisse de bonne foi être comprise de différentes façons ("zweideutig") et qu'il soit impossible de lever autrement le doute créé, faute d'autres moyens d'interpré- tation (ATF 122 III 118 consid. 2d; 118 II 342 consid. 1a p. 344; 100 II 144 consid. 4c p. 153).</w:t>
      </w:r>
    </w:p>
    <w:p>
      <w:r>
        <w:rPr>
          <w:b/>
        </w:rPr>
        <w:t>E. 4.3</w:t>
      </w:r>
    </w:p>
    <w:p>
      <w:r>
        <w:t>Par ailleurs, la validité des conditions générales préformulées est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 rimenté n'accepte pas des clauses insolites. Le caractère insolite d'une clause se détermine d'après la perception de celui qui l'accepte au moment de la conclusion du contrat. La règle dite de l'insolite ne Page 9</w:t>
      </w:r>
    </w:p>
    <w:p>
      <w:r>
        <w:t>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 solite (ATF 138 III 411 consid. 3.1 p. 412 s.; 135 III 1 consid. 2.1 p. 7, 225 consid. 1.3 p. 227 s.). En particulier, la règle de la clause insolite peut trouver application lorsque la clause a pour effet de réduire drastiquement la couverture d'assurance de telle sorte que les risques les plus fréquents ne sont plus couverts, lorsque le sens et la portée d'une disposition sont travestis par une formulation compliquée ou lorsque, par son emplacement dans les conditions générales, elle apparaît surprenante et inattendue à l'assuré (cf. arrêt 5C.53/2002 du</w:t>
      </w:r>
    </w:p>
    <w:p>
      <w:r>
        <w:rPr>
          <w:b/>
        </w:rPr>
        <w:t>E. 6</w:t>
      </w:r>
    </w:p>
    <w:p>
      <w:r>
        <w:t>En dernier lieu, la recourante s'essaie vainement à démontrer qu'elle était couverte pour l'activité de ses sous-traitants, dans le cadre de l'extension de couverture aux dommages et défauts aux ouvrages et/ou installations ainsi que préjudices pécuniaires. La couverture d'assurance ne lui est en effet pas déniée au motif qu'elle a eu recours à des sous-traitants, mais bien sur la base du raisonnement exposé aux considérants précédents.</w:t>
      </w:r>
    </w:p>
    <w:p>
      <w:r>
        <w:rPr>
          <w:b/>
        </w:rPr>
        <w:t>E. 7</w:t>
      </w:r>
    </w:p>
    <w:p>
      <w:r>
        <w:t>Sur le vu de ce qui précède, le recours doit être rejeté. Les frais judiciaires seront mis à la charge de la recourante (art. 66 al. 1 LTF). Il n'est pas alloué de dépens à l'intimée, qui n'a pas été invitée à se déterminer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