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20170621_d_zh_o_01 vom 21. Juni 2017</w:t>
      </w:r>
    </w:p>
    <w:p>
      <w:r>
        <w:t>FINMA Versicherungsrecht, 2017-06-21, DE</w:t>
      </w:r>
    </w:p>
    <w:p>
      <w:r>
        <w:rPr>
          <w:b/>
        </w:rPr>
        <w:t xml:space="preserve">Quelle: </w:t>
      </w:r>
      <w:r>
        <w:t>https://mcp.opencaselaw.ch/entscheid/finma_versicherungsrecht_20170621_d_zh_o_01</w:t>
      </w:r>
    </w:p>
    <w:p>
      <w:r>
        <w:t>FR: FINMA_VERSICHERUNGSRECHT 20170621_d_zh_o_01 du 21 juin 2017</w:t>
      </w:r>
    </w:p>
    <w:p>
      <w:r>
        <w:t>IT: FINMA_VERSICHERUNGSRECHT 20170621_d_zh_o_01 del 21 giugno 2017</w:t>
      </w:r>
    </w:p>
    <w:p>
      <w:pPr>
        <w:pStyle w:val="Heading2"/>
      </w:pPr>
      <w:r>
        <w:t>Erwägungen</w:t>
      </w:r>
    </w:p>
    <w:p>
      <w:r>
        <w:rPr>
          <w:b/>
        </w:rPr>
        <w:t>E. 2.1</w:t>
      </w:r>
    </w:p>
    <w:p>
      <w:r>
        <w:t>Der Kläger beantragt sinngemäss die Feststellung des Fortbestehens der von ihm abgeschlossenen Zusatzversicherungen bei der SWICA (Urk. 1, Urk. 5). Mithin liegt eine Feststellungsklage vor.</w:t>
      </w:r>
    </w:p>
    <w:p>
      <w:r>
        <w:rPr>
          <w:b/>
        </w:rPr>
        <w:t>E. 2.2</w:t>
      </w:r>
    </w:p>
    <w:p>
      <w:r>
        <w:t>Gemäss 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schutzwürdiges Interesse rechtlicher oder tatsächlicher Natur an der Feststellungsklage nachzuweisen. Ein solches ist gegeben, wenn kumulativ eine erhebliche Ungewissheit über Bestand und Inhalt der Rechtsbeziehungen zwischen den Parteien herrscht, das Fortdauern der Ungewissheit eine Unzumutbarkeit für den Kläger darstellt, weil sie ihn in seiner Bewegungsfreiheit behindert, und es dem Kläger nicht möglich ist, diese Unsicherheit mit einer Leistungs- oder Gestaltungsklage zu beheben/beseitigen. Das Feststellungsinteresse ist Sachurteilsvoraussetzung. Fehlt es an einem Feststellungsinteresse, tritt das Gericht auf die Klage nicht ein (Weber in: Basler Kommentar zur Schweizerischen Zivilprozessordnung, 2. Auflage, Basel 2013, Art. 88 Rz 5, 9, 14 und 17).</w:t>
      </w:r>
    </w:p>
    <w:p>
      <w:r>
        <w:rPr>
          <w:b/>
        </w:rPr>
        <w:t>E. 2.3</w:t>
      </w:r>
    </w:p>
    <w:p>
      <w:r>
        <w:t>Gegenstand des Klageverfahrens bildet die Feststellung des Bestehens beziehungsweise Fortbestehens der Zusatzversicherungsverträge zwischen den Parteien. Die Erbringung einer vertraglichen Leistung wegen des Eintritts eines versicherten Ereignisses steht nicht zur Diskussion (vgl. Urk. 1, 4 und 21), eine Leistungsklage scheidet also aus. Über den Fortbestand der Zusatzversicherungsverträge besteht Ungewissheit, wobei es dem Kläger nicht zumutbar ist, mit der Klärung der Rechtslage zuwarten zu müssen, bis zufolge Eintritts eines versicherten Risikos die vertraglichen Leistungen eingeklagt werden können. Das Feststellungsbegehren ist folglich zulässig (vgl. auch das Urteil des Sozialversicherungsgerichts KK.2008.00012 vom 9. November 2009, E. 2.3).</w:t>
      </w:r>
    </w:p>
    <w:p>
      <w:r>
        <w:rPr>
          <w:b/>
        </w:rPr>
        <w:t>E. 3.1</w:t>
      </w:r>
    </w:p>
    <w:p>
      <w:r>
        <w:t>Die Beklagte machte geltend, mit Schreiben vom 11. Juli 2016 seien unter anderen ausstehende Prämien für die Zusatzversicherungen im Betrag von Fr. 77.80 gemahnt worden. Da keine Zahlungen eingegangen seien, sei am 15. August 2016 die gesetzliche Mahnung für diesen Betrag ergangen. Mit Schreiben vom 21. Oktober 2016 habe sie dem Kläger eine letzte Frist zur Zahlung der offenen Prämien bis zum 25. November 2016 gesetzt unter Androhung, dass sie bei Nichtbezahlung vom Vertrag zurücktreten werde. Nachdem keine Zahlung eingegangen sei, habe sie den Kläger aus den Zusatzversicherungen ausgeschlossen (Urk. 9 S. 3 oben).</w:t>
      </w:r>
    </w:p>
    <w:p>
      <w:r>
        <w:rPr>
          <w:b/>
        </w:rPr>
        <w:t>E. 3.2</w:t>
      </w:r>
    </w:p>
    <w:p>
      <w:r>
        <w:t>Der Kläger vertritt demgegenüber den Standpunkt, das Aufkündigen der Zusatzversicherungen sei wohl angedroht worden, eine Kündigung sei jedoch nie erfolgt (Urk. 4 S. 5 oben). Überdies sei er seinen Verpflichtungen bis zum 31. Dezember 2016 vollumfänglich nachgekommen (Urk. 21 S. 2 Mitte).</w:t>
      </w:r>
    </w:p>
    <w:p>
      <w:r>
        <w:rPr>
          <w:b/>
        </w:rPr>
        <w:t>E. 4.1</w:t>
      </w:r>
    </w:p>
    <w:p>
      <w:r>
        <w:t>Vorab ist zu prüfen, ob der Kläger die Prämien der Zusatzversicherung für den Monat Juni 2016 beglichen hat.</w:t>
      </w:r>
    </w:p>
    <w:p>
      <w:r>
        <w:rPr>
          <w:b/>
        </w:rPr>
        <w:t>E. 4.2</w:t>
      </w:r>
    </w:p>
    <w:p>
      <w:r>
        <w:t>Der Kläger beruft sich darauf, er habe die Prämien für Juni 2016 von Fr. 702.70 (Prämien der obligatorischen Grundversicherung und Prämien der Zusatzversicherungen) mit Forderungen gegenüber der Beklagten von Fr. 620.30 verrechnet und die restlichen Fr. 82.40 am 20. Juni 2016 überwiesen, womit diese getilgt seien (vgl. Urk. 22/210-211). Rechtsprechungsgemäss besteht indessen in der obligatorischen Grundversicherung kein Recht zur Verrechnung der geschuldeten Prämien mit beanspruchten Leistungen (vgl. Urteil des Bundesgerichts K 114/03 vom 22. Juli 2005 = SVR 2006 KV Nr. 11). Die Verrechnung der Prämien aus der Zusatzversicherung mit Leistungen aus der obligatorischen Grundversicherung war daher nicht zulässig. Da der Kläger im Schreiben vom 4. Juni 2016 (Urk. 22/210) nicht erklärte, die Zahlung von Fr. 82.40 sei den Prämien der Zusatzversicherungen für Juni 2016 anzurechnen (vgl. Art. 86 Abs. 1 OR), durfte die Beklagte die Zahlung einer früher fälligen Schuld anrechnen (Art. 87 Abs. 1 OR), womit nicht zu beanstanden ist, dass sie die Zahlung der früher fällig gewordenen Leistungsabrechnung vom 15. April 2015 angerechnet hat (vgl. Urk. 18).</w:t>
      </w:r>
    </w:p>
    <w:p>
      <w:r>
        <w:rPr>
          <w:b/>
        </w:rPr>
        <w:t>E. 4.3</w:t>
      </w:r>
    </w:p>
    <w:p>
      <w:r>
        <w:t>Entgegen seiner Ansicht hat der Kläger die Prämienschuld der Zusatzversicherungen für Juni 2016 weder durch Verrechnung noch durch Bezahlung getilgt.</w:t>
      </w:r>
    </w:p>
    <w:p>
      <w:r>
        <w:rPr>
          <w:b/>
        </w:rPr>
        <w:t>E. 5.1</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(Art. 20 Abs. 1 des Bundesgesetzes über den Versicherungsvertrag, VVG). Bleibt die Mahnung ohne Erfolg, so ruht die Leistungspflicht des Versicherers vom Ablauf der Mahnfrist an (Art. 20 Abs. 3 VVG). Wird die rückständige Prämie nicht binnen zwei Monaten nach Ablauf der in Art. 20 VVG festgesetzten Frist rechtlich eingefordert, so wird angenommen, dass der Versicherer, unter Verzicht auf die Bezahlung der rückständigen Prämie, vom Vertrag zurücktritt (Art. 21 Abs. 1 VVG). Das Gesetz räumt dem Versicherer somit bei Nichtbezahlung der ausstehenden Prämie durch den Versicherungsnehmer ein Wahlrecht ein: Er kann zwischen der Weiterführung des Vertrags oder - unter Verzicht auf die rückständige Prämie - dessen Beendigung entscheiden. Wählt er die Auflösung des Vertragsverhältnisses, steht es ihm offen, diese durch eine vorzeitige Rücktrittserklärung oder durch Fristablauf herbeizuführen. Verhält sich der Versicherer während zweier Monate seit Verzugseintritt, d.h. dem Zeitpunkt des Ablaufs der 14-tägigen Mahnfrist, passiv, indem er die rückständige Prämie nicht rechtlich einfordert, so wird angenommen, dass er vom Vertrag zurücktrete (Art. 21 Abs. 1 VVG). Er ist indes nicht gehalten, bis zum Ablauf der zweimonatigen Frist mit der Vertragsbeendigung zuzuwarten. Vielmehr kann er bereits auf den Verzugseintritt hin mit der Rücktrittserklärung reagieren (BGE 138 III 2, E. 4.1 mit Hinweisen).</w:t>
      </w:r>
    </w:p>
    <w:p>
      <w:r>
        <w:rPr>
          <w:b/>
        </w:rPr>
        <w:t>E. 5.2</w:t>
      </w:r>
    </w:p>
    <w:p>
      <w:r>
        <w:t>In Anbetracht der gravierenden wirtschaftlichen Auswirkungen hat die Mahnung nach Art. 20 Abs. 1 VVG strengen Anforderungen hinsichtlich Form und Inhalt zu genügen, um die Interessen des Schuldners in geeigneter Weise zu Page 2 of 3 Entscheid: KK.2016.00067</w:t>
      </w:r>
    </w:p>
    <w:p>
      <w:r>
        <w:t>wahren. Die schriftliche Mahnung muss die Beträge nennen, für die Zahlung verlangt wird, und ebenso die Zahlungsfrist von 14 Tagen. Vor allem hat sie ausdrücklich die Säumnisfolgen anzugeben, um diese in das Bewusstsein des Schuldners zu rücken. Die Androhung der Verzugsfolgen muss explizit, klar und umfassend erfolgen, wobei sämtliche Säumnisfolgen zu nennen sind, mithin nicht nur das Ruhen der Leistungspflicht des Versicherers nach Art. 20 Abs. 3 VVG, sondern auch das Recht des Versicherers, vom Vertrag zurückzutreten, beziehungsweise die Vermutung des Rücktritts gemäss Art. 21 Abs. 1 VVG. Ein blosser Hinweis auf die (dem Mahnschreiben beigefügten) Gesetzesnormen von Art. 20 f. VVG reicht dabei ebenso wenig aus wie eine Verweisung auf entsprechende Bestimmungen der Allgemeinen oder Besonderen Versicherungsbedingungen. Ungenügend ist ferner die Angabe, dass beim Versicherer zusätzliche Auskünfte über die Folgen der unterlassenen Zahlung eingeholt werden können. Eine Mahnung, welche nicht auf diese Folgen hinweist, ist rechtswidrig und kann die Wirkungen, auf die zu verweisen sie unterlässt, nicht erzeugen (BGE 138 III 2, E. 4.2 und 5.2 mit Hinweisen).</w:t>
      </w:r>
    </w:p>
    <w:p>
      <w:r>
        <w:rPr>
          <w:b/>
        </w:rPr>
        <w:t>E. 5.3</w:t>
      </w:r>
    </w:p>
    <w:p>
      <w:r>
        <w:t>Mit Zahlungserinnerung vom 11. Juli 2016 machte die Beklagte den Kläger darauf aufmerksam, dass er die Prämien für den Monat Juni im Betrag von Fr. 702.70 noch nicht bezahlt habe (Urk. 10/7). In diesem Betrag sind die Prämien der obligatorischen Grundversicherung von Fr. 505.30 für den Kläger und von Fr. 119.60 für dessen Sohn sowie die Prämien der Zusatzversicherungen von Fr. 61.60 für den Kläger und von Fr. 16.20 für dessen Sohn enthalten (vgl. Versicherungspolice für das Jahr 2016, Urk. 10/4). Mit gesetzlicher Mahnung vom 15. August 2016 machte die Beklagte den Kläger erneut auf den Zahlungsrückstand aufmerksam unter Aufschlüsselung der Prämien der obligatorischen Grundversicherung und der Zusatzversicherungen. Zusätzlich forderte sie vom Kläger Mahnspesen von Fr. 30.-- (Urk. 10/8). Am 21. Oktober 2016 schliesslich forderte die Beklagte den Kläger auf, die Prämien für die Zusatzversicherungen von Fr. 109.20 (inklusive Verzugszins) bis zum 25. November 2016 zu bezahlen, und drohte an, sich bei unbenütztem Fristablauf auf ihr Rücktrittsrecht gemäss Art. 21 VVG zu stützen und den Vertrag für die Zusatzversicherungen aufzulösen (Urk. 10/9).</w:t>
      </w:r>
    </w:p>
    <w:p>
      <w:r>
        <w:rPr>
          <w:b/>
        </w:rPr>
        <w:t>E. 5.4</w:t>
      </w:r>
    </w:p>
    <w:p>
      <w:r>
        <w:t>Der im Schreiben vom 21. Oktober 2016 (Urk. 10/9) enthaltene Satz „Lassen Sie diese Frist verstreichen, stützen wir uns auf das Rücktrittsrecht, gemäss Art. 21 Gesetz über den Versicherungsvertrag (VVG) und lösen ihren Vertrag für die Zusatzversicherungen auf.“ weist mit aller Deutlichkeit darauf hin, dass die Beklagte beabsichtigte, ohne weitere Erklärung vom Vertrag zurückzutreten, falls der Zahlungsausstand vom Kläger nicht innert der angesetzten Frist bis 25. November 2016 beglichen wird. Verdeutlicht wird dies durch den nächsten Satz „Weitere Zahlungen für Prämien der Zusatzversicherungen würden dann für die obligatorische Grundversicherung verwendet.". Der dargelegte Inhalt des Mahnschreibens ist als präventive Rücktrittserklärung für den Fall, dass der Kläger den Prämienausstand nicht innert Frist bezahlt, zu verstehen (vgl. dazu Hasenböhler, in: Basler Kommentar zum Bundesgesetz über den Versicherungsvertrag, Basel 2001, Art. 21 Rz 9). Nachdem der Kläger den Prämienausstand nicht getilgt hatte, war die Beklagte entgegen der Ansicht des Klägers ohne weitere Erklärung befugt, vom Vertrag zurückzutreten (vgl. vorstehende E. 5.2).</w:t>
      </w:r>
    </w:p>
    <w:p>
      <w:r>
        <w:rPr>
          <w:b/>
        </w:rPr>
        <w:t>E. 5.5</w:t>
      </w:r>
    </w:p>
    <w:p>
      <w:r>
        <w:t>Zusammenfassend bestehen die Zusatzversicherungen Completa Top, Completa Präventa und Denta (Kläger) beziehungsweise Completa Top, Completa Präventa, Kapitalversicherung für Unfall Infortuna (Sohn des Klägers) zufolge rechtsgültigen Rücktritts von den Verträgen nicht mehr, was zur Abweisung der Klage führt. Das Gericht erkennt: 1. Die Klage wird abgewiesen. 2. Das Verfahren ist kostenlos. 3. Zustellung gegen Empfangsschein an: - X.___ unter Beilage des Protokolls über die Instruktionsverhandlung - SWICA Gesundheitsorganisation unter Beilage des Protokolls über die Instruktionsverhandlung - Eidgenössische Finanzmarktaufsicht FINMA 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 Page 3 of 3 Entscheid: KK.2016.00067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