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20170608_i_ti_o_01 vom 8. Juni 2017</w:t>
      </w:r>
    </w:p>
    <w:p>
      <w:r>
        <w:t>FINMA Versicherungsrecht, 2017-06-08, IT</w:t>
      </w:r>
    </w:p>
    <w:p>
      <w:r>
        <w:rPr>
          <w:b/>
        </w:rPr>
        <w:t xml:space="preserve">Quelle: </w:t>
      </w:r>
      <w:r>
        <w:t>https://mcp.opencaselaw.ch/entscheid/finma_versicherungsrecht_20170608_i_ti_o_01</w:t>
      </w:r>
    </w:p>
    <w:p>
      <w:r>
        <w:t>FR: FINMA_VERSICHERUNGSRECHT 20170608_i_ti_o_01 du 8 juin 2017</w:t>
      </w:r>
    </w:p>
    <w:p>
      <w:r>
        <w:t>IT: FINMA_VERSICHERUNGSRECHT 20170608_i_ti_o_01 del 8 giugno 2017</w:t>
      </w:r>
    </w:p>
    <w:p>
      <w:pPr>
        <w:pStyle w:val="Heading2"/>
      </w:pPr>
      <w:r>
        <w:t>Erwägungen</w:t>
      </w:r>
    </w:p>
    <w:p>
      <w:r>
        <w:rPr>
          <w:b/>
        </w:rPr>
        <w:t>E. 33</w:t>
      </w:r>
    </w:p>
    <w:p>
      <w:r>
        <w:t>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2.6. Con sentenza 4C.6/2007 del 5 aprile 2007 l’Alta Corte, a proposito dell’interpretazione di un contratto, ha affermato: " La controversia verte principalmente sull'interpretazione della clausola contrattuale concernente la condizione alla quale è stato subordinato l'esercizio del diritto di compera. (…) 3.2 In concreto è in particolare litigioso il significato della condizione per l'esercizio del diritto di compera, così definita: "se al momento dell'esercizio egli conduce ancora personalmente l'azienda agricola". La convenuta spiega che mediante questa condizione essa mirava chiaramente a escludere l'uso e la gestione da parte di terzi del nucleo dell'azienda, dove lei continuava a vivere insieme al marito; si era pertanto impegnata a vendere il fondo a condizione che al momento dell'esercizio del diritto di compera "il fulcro dell'azienda del padre, con stalla, fienile e annessi nonché con la casa d'abitazione dove i genitori vivono sotto lo stesso tetto con il figlio [fosse] stato utilizzato e gestito dal figlio". Ora, il fatto che nel 2003 la stalla e altre rimesse fossero utilizzate da altre persone indica che la condizione pattuita non è stata ossequiata, donde la sua opposizione all'adempimento del contratto. La decisione diversa dei giudici cantonali, secondo i quali per esercitare il diritto di compera bastava che l'attore facesse il contadino e conducesse personalmente l'azienda agricola, è - secondo la convenuta - lesiva del diritto federale giacché i giudici, senza spiegarne i motivi, si sono discostati dalla regola della priorità dell'interpretazione soggettiva e hanno proceduto a un'interpretazione oggettiva della clausola contrattuale.</w:t>
      </w:r>
    </w:p>
    <w:p>
      <w:r>
        <w:t>Si tratta di una censura manifestamente infondata. 3.3 I giudici cantonali hanno infatti ritenuto che non vi fosse motivo di scostarsi dal testo chiaro della clausola contrattuale, attestante la reale volontà delle parti al momento della stipulazione del contratto. Essi sono giunti a questa conclusione riferendosi principalmente alla deposizione di D.________ - coinvolto nell'allestimento dell'accordo ora controverso - il quale ha dichiarato che "l'intenzione dei contraenti era che il tutto rimanesse assieme e che appartenesse al gestore dell'azienda paterna". L'autorità cantonale ne ha dedotto che la madre aveva "promesso all'attore di vendergli il maggese se al momento dell'esercizio del diritto di compera questi avesse fatto il contadino e condotto personalmente la fattoria paterna". Più avanti i giudici cantonali hanno ribadito che "la testimonianza di D.________ è indizio che lascia concludere alla vera volontà della madre e questa collima col testo della condizione posta". Alla luce di quanto appena esposto è fuori di dubbio che la giurisprudenza sviluppata dal Tribunale federale attorno all'art. 18 cpv. 1 CO è stata applicata correttamente, perché la clausola contrattuale litigiosa è stata interpretata correttamente secondo il metodo soggettivo. 3.4 L'interpretazione soggettiva di un contratto, come detto al consid. 3.1, pertiene al fatto, deriva dall'apprezzamento delle prove ed è insindacabile nella giurisdizione per riforma. Per il Tribunale federale la volontà delle parti è pertanto quella accertata nella sentenza impugnata, secondo la quale i contraenti volevano che il podere di famiglia rimanesse unito e di proprietà del gestore dell'azienda paterna, ma non avevano precisato il modo in cui questa avrebbe dovuto essere gestita, né escluso cambiamenti futuri; ciò significa che il figlio non avrebbe necessariamente dovuto coltivare né utilizzare di persona tutti i fondi. Tutte le argomentazioni che presuppongono uno stato di fatto diverso e che disquisiscono su quella che sarebbe stata l'intenzione della convenuta al momento della conclusione del contratto, si avverano di conseguenza inammissibili.” 2.7. Va ancora rilevato, come evidenziato da dottrina (CARRĖ, Loi fédérale sur le contrat d'assurance, Losanna 2000, pag. 120 ad art. 3 LCA; VIRET, Assurances-maladie complémentaires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 Come rammenta VINCENT BRULHART, Droit des Assurances privées, Stämpfli 2008 n° 263 e segg. (pag. 120 e segg.), il contenuto del contratto può essere di principio determinato liberamente ed è, il più delle volte, fissato nelle condizioni generali preformulate. Si tratta di "conditions contractuelles qui règlent les droits et les obligations des contractants…fixent l'étendue de la couverture" (V. BRULHART, op. cit., n° 26-4). La dottrina ricorda che l'uso di condizioni generali è la regola in materia di contratto d'assicurazione: " De fait, l'utilisation des conditions générales est indissociable de la technique d'assurance." (V. BRULHART, op. cit., n° 267) La tecnica d'assicurazione (si veda l'autore citato no. 15 e segg. della sua opera)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i costi amministrativi degli assicuratori ridotti (V. BRULHART, op. cit., n° 270 pag. 121) conducono all'offerta di prodotti standardizzati, con rischi e garanzie uniformati "…ce qui intervient par l'utilisation de conditions contractuelles préformulées" (V. BRULHART, op. cit., n° 271, pag. 121). Come indicato le CGA, che non hanno qualità di norme giuridiche, reggono il contratto solo se vengono integrate nello stesso. La legge sul contratto d'assicurazione non definisce il contratto che regola. L'assicurazione è una convenzione per la quale, a fronte</w:t>
      </w:r>
    </w:p>
    <w:p>
      <w:r>
        <w:t>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come rileva parte della dottrina (V. BRULHART, op. cit., n° 399) un contratto d'adesione siccome elaborato, redatto e stampato dall'assicuratore prima della sua conclusione, ciò che ha per effetto che il prenditore d'assicurazione aderisce, in genere senza discussione delle clausole, all'elaborato dell'assicuratore. Di per sé il contratto d'assicurazione non è sottoposto ad alcuna condizione di forma e può essere concluso oralmente o per atti concludenti (WILLY KÖNIG, Schweizerisches Privatversicherungsrecht, 3a ed. Berna 1967 pag. 69 e DTF 112 II 245). Se il contratto d'assicurazione non è sottoposto a condizioni di forma anche la proposta assicurativa ne è svincolata (V. BRULHART, op. cit., n° 404 e n° 262) pur potendo le parti convenire altrimenti. Per quanto attiene alle CGA, definite da ERNS KRAMER e BRUNO SCHMIDLIN, Kommentar zum Schweizerischen Privatrecht, Tomo IV, 3 ed., Berna 1986, pag. 177-178, quali forma di legislazione emanata dall'economia privata o di legislazione senza legislatore, le stesse regolano il contratto nella misura in cui siano, come detto, integrate nello stesso. Se è ammissibile la conclusione di un contratto d'assicurazione per "facta concludentia", deve essere ammessa la possibilità di modificare il contratto stesso rispettivamente le CGA con le medesime modalità. 2.8. Non solo alle parti del contratto d'assicurazione deve essere riconosciuta la possibilità di modificare consensualmente le loro pattuizioni, eventualmente per atti concludenti, ma la LCA, all'art. 35, conosce la possibilità per lo stipulante di chiedere, in caso di modifica delle CGA "della medesima specie", in corso d'assicurazione, che il contratto "sia continuato alle nuove condizioni" con adeguamento - se caso - del "congruo equivalente". I contratti d'assicurazione vengono conclusi prevalentemente per periodi di tempo lunghi nel corso dei quali è possibile che l'assicuratore modifichi le CGA relative allo specifico rischio oggetto della polizza. In applicazione dei principi generali del diritto delle obbligazioni le nuove condizioni non possono reggere che i nuovi contratti (e se vi è adesione alle stesse da parte dei nuovi stipulanti come visto). I contratti in corso rimangono sottoposti alle CGA stabilite ed accettate al momento della loro conclusione. L'art. 35 LCA prevede, a questo proposito, un’eccezione garantendo allo stipulante il diritto di modificare la convenzione pattuita per mezzo di una dichiarazione unilaterale di volontà e quindi mediante l'esercizio di un diritto formatore. Il prof. BRULHART, ritiene che il fondamento di tale prerogativa "repose sur la conception selon laquelle les assurés seraient réunis sous une forme de communauté dont découlerait notamment une exigence d'égalité de traitement" (op. cit., loc. cit.). Tale diritto, ovviamente esercitato in caso di miglioramento delle condizioni in favore dello stipulante, ha quindi lo scopo sostanziale di permettere agli assicurati nella medesima situazione di essere posti in condizioni paritarie (in questo senso ROELLI/KELLER, op. cit., Tomo I pag. 519). Si deve trattare comunque di contratti del medesimo genere e quindi appartenenti al medesimo ramo assicurativo.</w:t>
      </w:r>
    </w:p>
    <w:p>
      <w:r>
        <w:t>Non si tratta di un automatismo, come indicato, ma dell'esercizio di un diritto formatore da parte dello stipulante con la possibilità per l'assicuratore di ottenere adeguamento del premio eventuale in caso di prestazioni assicurative più elevate (ROELLI/KELLER op. cit., pag. 521). Lo stipulante "ne pourrait négocier individuellement les clauses de son contrat" (V. Brulhart, op. cit., loc. cit.) e neppure profittare dell'opportunità per disdire il contratto. Gli effetti del diritto formatore hanno efficacia dall'esercizio e pro futuro (ex nunc), altra soluzione non sarebbe ammissibile alla luce dell'art. 9 LCA. Quindi, non soltanto tramite l'esercizio del diritto formatore dell'art.</w:t>
      </w:r>
    </w:p>
    <w:p>
      <w:r>
        <w:rPr>
          <w:b/>
        </w:rPr>
        <w:t>E. 35</w:t>
      </w:r>
    </w:p>
    <w:p>
      <w:r>
        <w:t>LCA è possibile la modifica del contratto d'assicurazione. Sempre nel rispetto delle prescrizioni imperative o semi imperative le parti possono cambiare, d'intesa tra loro, in ogni tempo le loro pattuizioni. Di volta in volta occorrerà analizzare, alla luce degli elementi concreti del caso, se tale pattuizione costituirà la continuazione del contratto esistente a condizioni nuove o la conclusione di un nuovo contratto. In merito si fa qui riferimento alla sentenza 24 luglio 2003 di questo TCA (36.2003.2 in particolare alle considerazioni del punto 2.6.). 2.9. In concreto occorre innanzitutto esaminare se è possibile determinare la reale e concorde volontà delle parti al momento della conclusione del contratto. In sede di udienza il consulente ha precisato che in occasione dell’immissione sul mercato di un nuovo prodotto assicurativo denominato “__________”, ha contattato l’attrice o suo marito proponendo il passaggio dalla copertura denominata “__________”. Non essendoci la possibilità di un libero passaggio, ciò ha implicato la verifica dello stato di salute dei coniugi (doc. VII). La nuova assicurazione ha avuto effetto dal 1° gennaio 2012 (doc. 2). Al momento della conclusione del contratto relativo al nuovo prodotto non è stata fatta nessuna promessa all’attrice e nessuna interpretazione dei termini è stata specificatamente concordata (doc. VII). Ne segue che non è possibile determinare la reale e concorde volontà delle parti in relazione al termine “parenti prossimi” di cui all’art. __________ CS. Occorre di conseguenza interpretare oggettivamente la clausola litigiosa, secondo il principio dell'affidamento, ovvero secondo il senso che ogni contraente poteva e doveva ragionevolmente attribuire alle dichiarazioni dell'altro nelle circostanze concrete (cfr. sentenza 4A_468/2008 del 20 febbraio 2009, consid. 2.4.1 e sentenza 4A_371/2009 del 30 novembre 2009). 2.10. In concreto, l’art. __________ CS, prevede, tra l’altro, che l’aiuto deve essere prestato “da una persona non facente parte dei parenti prossimi dell’assicurato”. La norma, a differenza di quanto prevedono alcuni articoli di legge citati dall’attrice (cfr. art. 42 quinques LAI per il quale l’assicurazione versa il contributo per l’assistenza a copertura delle prestazioni d’aiuto di cui l’assicurato ha bisogno e che gli sono fornite regolarmente da una persona fisica (assistente) assunta</w:t>
      </w:r>
    </w:p>
    <w:p>
      <w:r>
        <w:t>dall’assicurato o dal suo rappresentante legale con un contratto di lavoro (lett. a) e che non sia il coniuge, il partner registrato, la persona con cui convive di fatto o un parente in linea retta (lett. b) o l’art. 110 cpv. 1 CP secondo cui per congiunti di una persona s’intendono il coniuge, il partner registrato, i parenti in linea retta, i fratelli e sorelle germani, consanguinei o uterini, i genitori adottivi, i fratelli e sorelle adottivi e i figli adottivi), non contiene alcun elenco delle persone comprese nella definizione di “parenti prossimi”. L’art. __________ CGA rinvia per analogia alle disposizioni e i criteri in vigore nell’ambito del diritto delle assicurazioni sociali ma solo per l’interpretazione delle definizioni di malattia, maternità, infortunio, efficacia, adeguatezza, economicità e domicilio. Con scritto del 13 febbraio 2017 l’assicuratore ha indicato che per la definizione di parente prossimo “ci si attiene agli artt. 20 e 21 del Codice civile svizzero, i quali regolano le definizioni di parentela e di affinità” (doc. F), escludendo di fatto i cognati dalla nozione di “parenti” essendo semmai da considerare quali “affini” ai sensi dell’art. 21 CC. In sede di risposta di causa lo stesso assicuratore ha tuttavia affermato che tale definizione non sarebbe quella corretta (“Il concetto di parente prossimo delle CS di CV 1 è dunque più ampio di quello di parenti ai sensi dell’art. 20 CC; CV 1 è del resto autorizzata nelle proprie Condizioni a prevedere delle disposizioni in merito”). Per l’art. 20 cpv. 1 CC il grado della parentela è determinato dal numero delle generazioni. Secondo l’art. 20 cpv. 2 CC due persone sono fra loro parenti in linea retta se una discende dall’altra; sono parenti in linea collaterale se discendono da un autore comune, ma non l’una dall’altra. Secondo l’art. 21 cpv. 2 CC chi è parente di una persona è affine nella stessa linea e nello stesso grado con il coniuge o il partner registrato. Ai sensi dell’art. 21 cpv. 2 CC l’affinità non cessa con lo scioglimento del matrimonio o dell’unione domestica registrata da cui deriva. Secondo il dizionario Garzanti (cfr. www.garzanti.it) il parente è colui che “è legato ad altra persona da vincoli di parentela: parenti stretti, prossimi; parenti lontani, alla lontana; parente acquisito, diventato parente in seguito a un matrimonio” (cfr. anche http://dizionari.repubblica.it/Italiano/P/parente.php). Secondo il dizionario Treccani il parente è la “Persona unita ad altra da vincolo di parentela (sia consanguineo sia affine)” (www.treccani.ti/vocabolario/parente/). Per prossimo si intende invece “molto vicino nello spazio o nel tempo futuro: a Modena la cattedrale è prossima alla via Emilia; i lavori sono prossimi alla fine; sono prossimo a partire; Natale è ormai prossimo | parente prossimo, legato da uno stretto vincolo di parentela” (http://www.garzantilinguistica.it/ricerca/?q=prossimo); “Molto vicino nello spazio; Parente prossimo, legato da stretta parentela” (http://dizionari.repubblica.it/Italiano/P/prossimo.php); “Parente p., che ha stretti vincoli di parentela” (http://www.treccani.it/vocabolario/prossimo/). In concreto, anche l’esame letterale della norma non permette di giungere ad un’interpretazione oggettiva. Infatti il concetto di prossimo, ossia legato da stretta parentela, non è sufficiente per determinare con certezza la cerchia delle persone comprese nella definizione della norma, essendo troppo vago e poco preciso.</w:t>
      </w:r>
    </w:p>
    <w:p>
      <w:r>
        <w:t>D’altra parte la convenuta non può prevalersi alle versioni in tedesco e francese delle CS (“[…] von einer nicht zu den nächsten Angehörigen der versicherten Person gehörenden Person geleistet wird […]”; “[…] une personne ne faisant pas partie de la famille de la personne assurée […]”). Da una parte le CS specifiche e le polizze non precisano che le versioni in lingua francese e/o tedesco farebbero fede in caso di controversia. D’altra parte il contratto è stato concluso in Ticino, da persone di lingua italiana, senza alcun rinvio a norme in altre lingue, e nulla poteva far presagire, al momento della conclusione del contratto, che altre versioni avrebbero avuto la precedenza. Occorre pertanto stabilire qual è il fine perseguito dalle parti. L’assicuratore evidenzia che contemplare i cognati tra i parenti prossimi avrebbe “la sua giustificazione nel fatto che di regola in ambito familiare tale aiuto avviene gratuitamente, nell’ambito dell’obbligo di aiuto reciproco e sostegno tra parenti (cfr. anche art. 272 e 328f CC). Attività di aiuto domestico remunerate sono invece tipicamente effettuate da persone” attive “professionalmente a titolo indipendente o” quali “dipendente presso società di aiuto- volontariato/spitex.” (doc. III, pag. 6). In altre parole, scopo della norma è quello di prevenire eventuali abusi, nel senso di remunerare prestazioni che normalmente, per consuetudine, vengono fornite a titolo gratuito. Tuttavia, l’art. 272 CC prevede che “i genitori ed i figli si devono vicendevolmente l’assistenza, i riguardi e il rispetto che il bene della comunione richiede”, senza accennare ad altri parenti, così come l’art. 328 CC, il quale prevede che “chi vive in condizioni agiate è tenuto a soccorrere i parenti in linea ascendente e discendente quando senza di ciò essi cadessero nel bisogno”; “è fatto salvo l’obbligo di mantenimento dei genitori e del coniuge o del partner registrato”. Neppure quest’ultima norma, il cui elenco è esaustivo, comprende i cognati (cfr. Thomas Koller in Basler Kommentar, Zivilgesetzbuch I, 5a edizione, Basilea 2014, N. 6 ad art. 328/329). Il rinvio dell’assicuratore agli art. 272 e 328 CC, come in precedenza agli art. 20 e 21 CC, conforta pertanto l’interpretazione data dall’attrice, la quale ha ritenuto che l’esclusione si applica unicamente, oltre al coniuge (o al convivente o al partner registrato), ai parenti in linea retta discendenti ed ascendenti. Infatti, se è vero che di principio in ambito familiare l’aiuto avviene gratuitamente, ciò vale, di norma, oltre che per il coniuge, rispettivamente il convivente o il partner registrato, segnatamente per i parenti con un autore comune (cfr. art. 20 CC) e, semmai, per quelli che vivono sotto lo stesso tetto. Anche perché il disposto in esame non precisa che l’aiuto domiciliare debba essere stato fornito da persone attive professionalmente a titolo indipendente o quali dipendenti di società di aiuto volontariato/spitex. Se ciò fosse stata l’intenzione dell’assicuratore, avrebbe dovuto indicarlo esplicitamente nelle CS. Ne segue che l’interpretazione dell’art. __________ CS data dall’attrice, ossia l’inclusione della cognata tra le persone le cui prestazioni sono rimborsate in caso di sinistro, è conforme al senso che poteva e doveva ragionevolmente attribuire nelle circostanze concrete (cfr. sentenza 4A_468/2008 del 20 febbraio 2009, consid. 2.4.1 e sentenza 4A_371/2009 del 30 novembre 2009) e va tutelata.</w:t>
      </w:r>
    </w:p>
    <w:p>
      <w:r>
        <w:t>Ciò non significa che in assoluto, ossia in altri contesti, il termine “parente prossimo” non possa includere anche i cognati, ma nel preciso caso di specie esso non lo comprende. Ne segue che l’assicuratore è tenuto a versare all’attrice la prestazione pattuita pari a fr. 2'000.--. 2.11. L’assicurata chiede il versamento di interessi al 5% dal 1° settembre 2016. Per quanto concerne gli interessi va rilevato che con sentenza 4A_468/2008 del 20 febbraio 2009 il TF ha rammentato: " 3.2 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è con lo scritto del 16 febbraio 2017 che per la prima volta l’attrice ha chiesto il versamento dell’importo complessivo di fr. 2'000 (doc. H). Gli interessi sono pertanto dovuti a partire dal 17 febbraio 2017. 2.12. L’attrice, tra i mezzi di prova richiesti, oltre ai documenti prodotti, ha citato il suo interrogatorio/la sua deposizione, nonché i testi __________, suo marito e __________, sua cognata (doc. I).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“domanda espressa di procedere ad un’udienza pubblica” (l’assicurata ha chiesto genericamente il suo interrogatorio/deposizione [cfr. doc. I]), questo TCA rinuncia all’audizione dell’attrice poiché superflua ai fini dell’esito della vertenza (cfr. sentenza del 21 agosto 2007, I 472/06, consid. 2; cfr. sentenza 9C_578/2008 del 29 maggio 2009 dove la generica richiesta di “vegliare alla parità delle armi […] e all’applicazione dell’art. 6 CEDU” non è stata giudicata sufficiente per far sorgere l’obbligo di organizzare un dibattimento pubblico).</w:t>
      </w:r>
    </w:p>
    <w:p>
      <w:r>
        <w:t>Inoltre questo Tribunale non intravvede ragioni per assumere ulteriori prove e segnatamente sentire il marito dell’attrice e la sua cognata. Infatti la documentazione agli atti e la deposizione del teste __________ sono completi ed esaustivi e non necessitano di complementi (cfr.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