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20170117_i_ti_o_01 vom 17. Januar 2017</w:t>
      </w:r>
    </w:p>
    <w:p>
      <w:r>
        <w:t>FINMA Versicherungsrecht, 2017-01-17, IT</w:t>
      </w:r>
    </w:p>
    <w:p>
      <w:r>
        <w:rPr>
          <w:b/>
        </w:rPr>
        <w:t xml:space="preserve">Quelle: </w:t>
      </w:r>
      <w:r>
        <w:t>https://mcp.opencaselaw.ch/entscheid/finma_versicherungsrecht_20170117_i_ti_o_01</w:t>
      </w:r>
    </w:p>
    <w:p>
      <w:r>
        <w:t>FR: FINMA_VERSICHERUNGSRECHT 20170117_i_ti_o_01 du 17 janvier 2017</w:t>
      </w:r>
    </w:p>
    <w:p>
      <w:r>
        <w:t>IT: FINMA_VERSICHERUNGSRECHT 20170117_i_ti_o_01 del 17 gennaio 2017</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Per una critica all’ultima (in ordine temporale) giurisprudenza federale in materia si veda il contributo dottrinale in RtiD 2016 I 307 e ss. nel merito</w:t>
      </w:r>
    </w:p>
    <w:p>
      <w:r>
        <w:rPr>
          <w:b/>
        </w:rPr>
        <w:t>E. 2</w:t>
      </w:r>
    </w:p>
    <w:p>
      <w:r>
        <w:t>In concreto l’attore chiede la condanna della convenuta al pagamento dell’importo di fr. 400.-- così come previsto dall’art. 10.2 CGA dell’assicurazione __________ complementare privata. Va premesso che ai sensi dell’art. 1.6 delle condizioni comuni se nelle condizioni contrattuali non sono definite delle regolamentazioni differenti, valgono le condizioni della legge federale sul contratto assicurativo del 2 aprile 1908 (LCA; cfr. doc. 17, inc. 36.2016.117). Per l’art. 10.2 (spese di viaggio) delle condizioni generali d’assicurazione per assicurazioni secondo la LCA dell’assicurazione __________ complementare privata (di seguito: CGA), in caso di regolare trattamento medico fuori località di residenza, l’assicurazione copre il 90% delle spese che si determinano per l’utilizzo dei mezzi di trasporto pubblici dalla località di residenza a quella del trattamento. Premessa per la corresponsione di prestazione è che tale trattamento non possa essere eseguito nella località di residenza o nelle sue immediate vicinanze. Per anno civile sono assunti al massimo CHF 100.--. L’assicurazione copre il 90% dei costi del taxi per i trasporti necessari tra l’abitazione e il luogo di cura durante un trattamento ambulatoriale nel limite però che alla persona assicurata per motivi medici non gli sia possibile utilizzare i mezzi di trasporto pubblici o il suo veicolo privato. Annualmente vengono rimborsati al massimo CHF 400.-- (doc. 17 inc. 36.2016.117).</w:t>
      </w:r>
    </w:p>
    <w:p>
      <w:r>
        <w:rPr>
          <w:b/>
        </w:rPr>
        <w:t>E. 3</w:t>
      </w:r>
    </w:p>
    <w:p>
      <w:r>
        <w:t>Per costante giurisprudenza al contratto d’assicurazione si applicano i principi generali dell’interpretazione dei contratti, tanto più che la legge speciale non contiene disposizioni particolari in proposito: l’art. 100 cpv. 1 LCA rinvia infatti al diritto delle obbligazioni e, di riflesso, al Codice civile (sentenza 5C.13/2006 del 9 ottobre 2006, consid. 3.2; DTF 118 II 342 consid. 1a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sentenza 5C.13/2006 del 9 ottobre 2006, consid. 3.2, cfr. anche sentenza 4A_34/2007 del 26 luglio 2007, consid. 3.1). Se non gli è possibile stabilire tale reale</w:t>
      </w:r>
    </w:p>
    <w:p>
      <w:r>
        <w:t>volontà, oppure se constata che uno dei contraenti non ha compreso la reale volontà espressa dall’altro, il giudice ricercherà il senso che le parti potevano e dovevano attribuire alle reciproche manifestazioni di volontà (principio dell’affidamento: sentenza 4A_34/2007 del 26 luglio 2007, consid. 3.1; sentenza 5C.13/2006 del 9 ottobre 2006, consid. 3.2,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w:t>
      </w:r>
    </w:p>
    <w:p>
      <w:r>
        <w:rPr>
          <w:b/>
        </w:rPr>
        <w:t>E. 4</w:t>
      </w:r>
    </w:p>
    <w:p>
      <w:r>
        <w:t>In concreto le parti non contestano che l’art. 10.2 CGA invocato dall’attore preveda un rimborso dei costi di trasporto secondo le modalità ivi indicate nella misura in cui la persona assicurata faccia capo ad un taxi (cfr. doc. V, VII e doc. IX). L’attore sostiene infatti che “il taxi sia proprio un’auto a noleggio” (doc. IX). Sennonché il taxi è un’“automobile dotata di tassametro per servizio pubblico” (cfr. http://dizionari.corriere.it/dizionario_ita liano/T/taxi.shtml) o un’”automobile per il trasporto pubblico di passeggeri, dotata di tassametro” (www.garzantilinguistica.it /ricerca/?q=taxi). L’ordinanza municipale sul servizio taxi del 23 luglio 2015 del Comune di __________, all’art. 3 [2.1.13], prevede del resto che “È considerato quale taxi, ai sensi della presente Ordinanza, ogni autoveicolo leggero fino a nove posti a sedere al massimo (autista compreso) messo a disposizione del pubblico per il trasporto di persone contro remunerazione e non assoggettato alle disposizioni federali e cantonali in materia di trasporti pubblici (…)” (cfr. anche l’art. 3 dell’ordinanza municipale sul servizio Taxi del Comune di __________, per la quale “E’ considerato taxi, ai sensi della presente ordinanza, ogni autoveicolo leggero di nove posti a sedere al massimo (autista compreso) messo a disposizione del pubblico per il trasporto di persone contro remunerazione e non assoggettato alle disposizioni federali e cantonali in materia di trasporti pubblici”, in www.locarno. ch/files/documenti/120-1_OM_servizio_taxi.pdf). In concreto, lo scopo della __________ è: “Il noleggio di macchinari compatti con attrezzature annesse, la manutenzione di strade, il servizio di spazzaneve e di spandisale, lo smaltimento di</w:t>
      </w:r>
    </w:p>
    <w:p>
      <w:r>
        <w:t>rifiuti vegetali, la manutenzione di giardini e l’esecuzione di piccoli lavori di muratura. La società potrà effettuare tutte le operazioni finanziarie, commerciali e immobiliari connesse con lo scopo sociale, come pure partecipare a società similari”. La società, manifestamente, non offre un servizio di taxi. Del resto, dall’accertamento effettuato da questo Tribunale (doc. XI-XII), emerge che l’interessato non ha fatto capo ad un taxi (in particolare ad un servizio pubblico), bensì ha noleggiato un’automobile, presso la società di cui il padre è presidente con diritto di firma individuale (doc. I, inc. 36.2016.117), guidata, a dipendenza della disponibilità, dal padre medesimo, dalla madre o dal fratello. Manifestamente non si tratta di una fattispecie rientrante nell’ipotesi di cui all’art. 10.2 CGA. La richiesta di rimborso dell’importo di fr. 400.-- deve di conseguenza essere respinta.</w:t>
      </w:r>
    </w:p>
    <w:p>
      <w:r>
        <w:rPr>
          <w:b/>
        </w:rPr>
        <w:t>E. 5</w:t>
      </w:r>
    </w:p>
    <w:p>
      <w:r>
        <w:t>L’attore ha richiamato l’intero incarto dall’assicuratore, nonché gli atti prodotti nella parallela causa in ambito LAMal di cui all’inc. 36.2016.117 (doc. O). La convenuta, nella causa LAMal, ha prodotto tutta la documentazione inerente la fattispecie (cfr. inc. 36.2016.117), che, come richiesto, questo TCA ha richiamato. Pendente causa il Tribunale ha inoltre interpellato l’attore per chiarire alcuni fatti (XI- XII). Questo Tribunale, ritenuto che, in seguito all’accertamento eseguito, i fatti sono stati comprovati e nessun provvedimento probatorio supplementare potrebbe modificare tale apprezza-mento, rinuncia all’assunzione di ulteriori prove (sentenza 9C_394/2016 del 21 novembre 2016, consid. 6.2).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6</w:t>
      </w:r>
    </w:p>
    <w:p>
      <w:r>
        <w:t>Come indicato l’azione va respinta, senza percezione di tassa di giustizia e spese, che permangono a carico dello Stato, e senza attribuzione di ripetibili.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w:t>
      </w:r>
    </w:p>
    <w:p>
      <w:r>
        <w:t>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