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20161129_f_ge_o_01 vom 29. November 2016</w:t>
      </w:r>
    </w:p>
    <w:p>
      <w:r>
        <w:t>FINMA Versicherungsrecht, 2016-11-29, FR</w:t>
      </w:r>
    </w:p>
    <w:p>
      <w:r>
        <w:rPr>
          <w:b/>
        </w:rPr>
        <w:t xml:space="preserve">Quelle: </w:t>
      </w:r>
      <w:r>
        <w:t>https://mcp.opencaselaw.ch/entscheid/finma_versicherungsrecht_20161129_f_ge_o_01</w:t>
      </w:r>
    </w:p>
    <w:p>
      <w:r>
        <w:t>FR: FINMA_VERSICHERUNGSRECHT 20161129_f_ge_o_01 du 29 novembre 2016</w:t>
      </w:r>
    </w:p>
    <w:p>
      <w:r>
        <w:t>IT: FINMA_VERSICHERUNGSRECHT 20161129_f_ge_o_01 del 29 novembre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À teneur des conditions d’assurance (édition 2014) produites par la demanderesse et de l’avis des deux parties, la demanderesse était liée à la défenderesse par un contrat d’assurance complémentaire soumis à la LCA dit « hospita » (ch. 1.6 des dispositions communes des CGA [ci-après : CGA/DC]), en l’occurrence en division demi-privée (« hospita demi-privée »). La chambre de céans est donc compétente à raison de la matière pour juger du cas d’espèce.</w:t>
      </w:r>
    </w:p>
    <w:p>
      <w:r>
        <w:t>A/4064/2015 - 10/17 - b. Sauf disposition contraire de la loi (que ne constitue pas l’art. 46a LCA, en tant que, sur la question du for, il renvoie à une loi ayant été abrogée par le CPC, à savoir la loi du 24 mars 2000 sur les fors), le for est celui du domicile de la personne physique contre laquelle l’action est dirigée (art. 10 al. 1 let. a CPC), sans préjudice d’une élection de for écrite dont l’art. 17 al. 1 CPC consacre la possibilité. En l’occurrence, d’après le ch. 13 des CGA/DC, en cas de contestations découlant d’assurances selon les CGA et d’éventuelles dispositions particulières, la personne plaignante peut saisir au choix soit le tribunal de son domicile suisse, soit celui du siège de l’assureur ou de la caisse. La demanderesse ayant son domicile à Genève, la chambre de céans est compétente à raison du lieu pour connaître de la présente demande.</w:t>
      </w:r>
    </w:p>
    <w:p>
      <w:r>
        <w:rPr>
          <w:b/>
        </w:rPr>
        <w:t>E. 2</w:t>
      </w:r>
    </w:p>
    <w:p>
      <w:r>
        <w:t>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c’est le cas dans le canton de Genève (art. 134 al. 1 let. c LOJ). b. La procédure simplifiée s'applique aux litiges portant sur des assurances complémentaires à l’assurance-maladie sociale au sens de la LAMal (art. 243 al. 2 let. f CPC). La maxime inquisitoire sociale est applicable (art. 247 al. 2 let. a CPC). c. Les parties peuvent renoncer, même tacitement, à la tenue d’une audience de débats principaux (art. 233 CPC. applicable par renvoi de l’art. 219 CPC ; ATF 140 III 450). Une renonciation par actes concluants aux débats principaux doit être admise si les partie,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(arrêts du Tribunal fédéral 4A_318/2016 du 3 août 2016 consid. 2.1 in fine ; 4A_627/2015 du 9 juin 2016 consid. 2.3). Tel est le cas en l’espèce.</w:t>
      </w:r>
    </w:p>
    <w:p>
      <w:r>
        <w:rPr>
          <w:b/>
        </w:rPr>
        <w:t>E. 3</w:t>
      </w:r>
    </w:p>
    <w:p>
      <w:r>
        <w:t>La question litigieuse en l’espèce est de savoir si le supplément de CHF 8'500.- que la clinique a réclamé à la demanderesse par le biais d’un dépôt lors de son hospitalisation, pour la spécificité de la radiothérapie intra-opératoire exclusive effectuée lors de son opération, est à la charge de la défenderesse, étant précisé que l’assurance-maladie sociale de la demanderesse a pris en charge, au titre de l’assurance obligatoire des soins, le forfait par cas de CHF 7'499.50, prévu par la position tarifaire J16Z du catalogue SwissDRG rémunérant une « mastectomie bilatérale pour néoformation maligne ou radiothérapie avec procédure opératoire pour maladies et troubles de la peau, du tissu sous-cutané et de la glande mammaire ». La chambre de céans n’a en l’occurrence pas à statuer sur le point de savoir quelle part du traitement hospitalier subi par la demanderesse l’assurance obligatoire des soins devait le cas échéant prendre en charge, d’autant plus que la décision sur</w:t>
      </w:r>
    </w:p>
    <w:p>
      <w:r>
        <w:t>A/4064/2015 - 11/17 - opposition de CSS Assurance-maladie SA du 11 août 2015 confirmant le refus de prise en charge du « forfait IORT » litigieux de CHF 8'500.- est entrée en force. Un rappel de quelques règles applicables à l’assurance obligatoire des soins n’en est pas moins indiqué, dans la mesure où les montants susceptibles le cas échéant d’être à la charge de l’assurance-maladie complémentaire souscrite par la demanderesse rémunèrent des prestations non (entièrement) couvertes par l’assurance obligatoire des soins de cette dernière (ch. 1.1 CGA/hospita).</w:t>
      </w:r>
    </w:p>
    <w:p>
      <w:r>
        <w:rPr>
          <w:b/>
        </w:rPr>
        <w:t>E. 4</w:t>
      </w:r>
    </w:p>
    <w:p>
      <w:r>
        <w:t>a. Selon l’art. 24 LAMal, l’assurance obligatoire des soins prend en charge les coûts des prestations définies aux art. 25 à 31 LAMal en tenant compte des conditions des art. 32 à 34 LAMal. Lesdites prestations servent à diagnostiquer ou à traiter une maladie et ses séquelles (art. 25 al. 1 LAMal) ; elles comprennent notamment les examens et traitements dispensés sous forme ambulatoire, en milieu hospitalier ou dans un établissement médico-social ainsi que les soins dispensés dans un hôpital (en particulier par des médecins), et le séjour à l’hôpital correspondant au standard de la division commune (art. 25 al. 2 let. a et e LAMal). D’après l’art. 32 al. 1 phr. 1 LAMal, les prestations mentionnées aux art. 25 à 31 LAMal doivent être efficaces, appropriées et économiques. L’art. 34 al. 1 LAMal prévoit qu’au titre de l’assurance obligatoire des soins, les assureurs ne peuvent pas prendre en charge d’autres coûts que ceux des prestations prévues aux art. 25 à 33 LAMal. b. Concernant la rémunération des fournisseurs de prestations à la charge de l’assurance obligatoire des soins, l’art. 42 al. 1 et 2 LAMal prévoit que, sauf convention contraire entre les assureurs et les fournisseurs de prestations, l’assuré est le débiteur de la rémunération envers le fournisseur de prestations et a, dans ce cas, le droit d’être remboursé par son assureur (système du tiers garant), mais que assureurs et fournisseurs de prestations peuvent convenir que l’assureur est le débiteur de la rémunération (système du tiers payant) ; en cas de traitement hospitalier, l’assureur, en dérogation à l’al. 1, est le débiteur de sa part de rémunération. c. Dans l'assurance obligatoire,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 si les partenaires tarifaires ne peuvent s’entendre sur une structure tarifaire uniforme, le Conseil fédéral la fixe (art. 43 al. 4 LAMal). Les fournisseurs de prestations doivent respecter les tarifs et les prix fixés par convention ou par l'autorité compétente ; ils ne peuvent exiger de rémunération plus élevée pour des prestations fournies en application de la LAMal (art. 44 al. 1 phr. 1 LAMal). La convention tarifaire doit être approuvée par le gouvernement cantonal compétent ou, si sa validité s'étend à toute la Suisse, par le Conseil fédéral. Selon l’art. 49 LAMal, pour rémunérer les traitements hospitaliers, y compris le séjour et les soins à l’hôpital ou dans une maison de naissance, les parties à une</w:t>
      </w:r>
    </w:p>
    <w:p>
      <w:r>
        <w:t>A/4064/2015 - 12/17 -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dont les actionnaires sont la Conférence suisse des directrices et directeurs cantonaux de la santé (CDS), les hôpitaux de Suisse (H+), les assureurs-maladie suisses (santésuisse), la Commission des tarifs médicaux LAA (CTM) et la Fédération des médecins suisses (FMH).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(Diagnosis Related Group) réunit des cas de traitement homogènes sur le plan médical et économique (ATAS/430/2016 du 1er juin 2016 consid. 3f ; Bettina HOLZER, SwissDRG – L’essentiel en bref, in Bulletin des médecins suisses 2012 p. 1079 ss ; Gebhart EUGSTER, Krankenversicherung, in Sécurité sociale, éd. par Ulrich MEYER, 3ème éd., 2016, vol. XIV, p. 385 ss, n. 1018 ss ; Stéphanie PERRENOUD, L’assurance-maladie, in Ghislaine FRÉSARD-FELLAY / Bettina KAHIL-WOLFF / Stéphanie PERRENOUD, Droit suisse de la sécurité sociale, vol. II, 2015, n. 212 et 367). d. La LAMal définit les personnes et institutions admises à fournir des prestations à la charge de l’assurance-maladie (art. 35 al. 1 LAMal). Concernant les hôpitaux, l’art. 39 LAMal précise les conditions de leur admission à pratiquer à la charge de l’assurance-maladie, dont celle de figurer sur la liste cantonale fixant les catégories d’hôpitaux en fonction de leurs mandats (al. 1 let. e). En cas de traitement hospitalier, l’assuré a le libre choix entre les hôpitaux aptes à traiter sa maladie, dans toute la Suisse, à condition qu’ils figurent sur la liste de son canton de résidence ou celle du canton où se situe l’hôpital, autrement dit qu’il s’agisse d’hôpitaux dits répertoriés (art. 41 al. 1bis LAMal), les cas d’urgence et de prestations nécessaires ne pouvant être fournies dans un hôpital du canton de résidence restant réservés (art. 41 al. 3 et 3bis LAMal). La condition précitée de figurer sur la liste cantonale pour qu’un hôpital puisse pratiquer à la charge de l’assurance-maladie et la limitation en résultant pour les assurés de choisir librement l’hôpital dans lequel ils entendent être hospitalisés sont relativisées dans la mesure où, selon l’art. 49a al. 4 LAMal, les assureurs peuvent conclure avec les hôpitaux ou les maisons de naissance non répertoriés au sens de l’art. 39 LAMal, mais qui remplissent les conditions fixées aux art. 38 et 39, al. 1, let. a à c LAMal, des conventions sur la rémunération des prestations fournies au titre de l’assurance obligatoire des soins (Gebhart EUGSTER, op. cit., p. 651, n. 788 i.f., p. 669 ss,</w:t>
      </w:r>
    </w:p>
    <w:p>
      <w:r>
        <w:t>A/4064/2015 - 13/17 - n. 854 ss ; sur l’ensemble de la question, cf. Stéphanie PERRENOUD, op. cit., p. 1 ss, n. 145 ss, 150 s., 181 ss, 211 ss, 322 ss, n. 354 s., 361 ss, 396 ss, 414).</w:t>
      </w:r>
    </w:p>
    <w:p>
      <w:r>
        <w:rPr>
          <w:b/>
        </w:rPr>
        <w:t>E. 5</w:t>
      </w:r>
    </w:p>
    <w:p>
      <w:r>
        <w:t>a. 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(cf. Stéphanie PERRENOUD, op. cit.,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703-34 ; Vincent BRULHART, Quelques remarques relatives au droit applicable aux assurances complémentaires dans le nouveau droit de la LAMal, in LAMal – KVG, Recueil de travaux précité, p. 735-755). b. 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op. cit., p. 690).</w:t>
      </w:r>
    </w:p>
    <w:p>
      <w:r>
        <w:rPr>
          <w:b/>
        </w:rPr>
        <w:t>E. 6</w:t>
      </w:r>
    </w:p>
    <w:p>
      <w:r>
        <w:t>a. La demanderesse a choisi de se faire opérer à la clinique E______, soit dans un hôpital dont elle ne pouvait ignorer et était en tout état responsable de savoir qu’il ne figurait sur la liste des hôpitaux admis à pratiquer à la charge de l’assurance obligatoire des soins ni de son canton de résidence (celui de Genève) ni de celui du lieu de situation dudit hôpital (celui de Vaud). Ladite clinique avait cependant passé, en tant qu’hôpital non répertorié, une convention d’hospitalisation en catégorie « demi-privée » et « privée » et des accords tarifaires avec notamment son assureur-maladie complémentaire (la défenderesse), l’habilitant à pratiquer à la charge de l’assurance-maladie (art. 49a al. 4 LAMal). Aussi ladite clinique a-t-elle facturé à l’assureur-maladie social de la demanderesse le forfait par cas de CHF 7'499.50 prévu par la position tarifaire J16Z du catalogue SwissDRG, en tant que prestation à la charge de l’assurance obligatoire des soins, et des prestations supplémentaires, à l’exclusion du « forfait IORT » litigieux, à l’assureur-maladie</w:t>
      </w:r>
    </w:p>
    <w:p>
      <w:r>
        <w:t>A/4064/2015 - 14/17 - complémentaire de la demanderesse. S’il est possible qu’au moment de faire le dépôt de la somme de CHF 8'500,- à titre de « forfait IORT », lors de son entrée à la clinique, la demanderesse a espéré qu’elle en obtiendrait le remboursement de l’une ou l’autre de ses assurances-maladie – soit la sociale soit la complémentaire –, il ne fait pas de doute qu’elle savait alors qu’une convention tarifaire liait ladite clinique à la défenderesse et que cette dernière, en tant qu’assureur complémentaire, interviendrait en couverture d’au moins certains coûts, importants, non couverts par son assureur-maladie social, mais dans les limites de la convention tarifaire. b. Selon la Conv. tarifaire, seules les prestations définies dans ladite convention et l’annexe 1 sont facturables à l’assureur ou, pour certains frais visés à l’al. 2 de cette disposition, aux patients (art. 3 al. 1), étant précisé que la Conv. tarifaire s’applique exclusivement aux cas de soins aigus somatiques lorsqu’une garantie a été délivrée (art. 2 al. 1), d’une part, et que la clinique renonce à tout dépôt pécuniaire sauf en cas de garantie partielle (art. 4 al. 3), d’autre part. Du fait du caractère complémentaire de l’assurance considérée, la technique juridique de délimitation des risques couverts consiste à recourir au procédé des exclusions indirectes ; les conditions contractuelles circonscrivent les risques de manière positive ; est couvert uniquement ce qui entre dans la définition restrictive donnée par les dispositions conventionnelles applicables (Bernard VIRET, op. cit., p. 690). Or, à la différence des prestations listées sur la facture de la clinique du</w:t>
      </w:r>
    </w:p>
    <w:p>
      <w:r>
        <w:rPr>
          <w:b/>
        </w:rPr>
        <w:t>E. 9</w:t>
      </w:r>
    </w:p>
    <w:p>
      <w:r>
        <w:t>Il n'est pas perçu de frais judiciaires (art. 114 let. e CPC), ni alloué de dépens à la charge de la demanderesse (art. 22 al. 3 let. b de la loi d'application du code civil suisse et d’autres lois fédérales en matière civile du 11 octobre 2012 [LaCC - E 1 05]). * * * * * *</w:t>
      </w:r>
    </w:p>
    <w:p>
      <w:r>
        <w:t>A/4064/2015 - 17/17 -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