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20160414_d_ch_b_01 vom 14. April 2016</w:t>
      </w:r>
    </w:p>
    <w:p>
      <w:r>
        <w:t>FINMA Versicherungsrecht, 2016-04-14, DE</w:t>
      </w:r>
    </w:p>
    <w:p>
      <w:r>
        <w:rPr>
          <w:b/>
        </w:rPr>
        <w:t xml:space="preserve">Quelle: </w:t>
      </w:r>
      <w:r>
        <w:t>https://mcp.opencaselaw.ch/entscheid/finma_versicherungsrecht_20160414_d_ch_b_01</w:t>
      </w:r>
    </w:p>
    <w:p>
      <w:r>
        <w:t>FR: FINMA_VERSICHERUNGSRECHT 20160414_d_ch_b_01 du 14 avril 2016</w:t>
      </w:r>
    </w:p>
    <w:p>
      <w:r>
        <w:t>IT: FINMA_VERSICHERUNGSRECHT 20160414_d_ch_b_01 del 14 aprile 2016</w:t>
      </w:r>
    </w:p>
    <w:p>
      <w:pPr>
        <w:pStyle w:val="Heading2"/>
      </w:pPr>
      <w:r>
        <w:t>Erwägungen</w:t>
      </w:r>
    </w:p>
    <w:p>
      <w:r>
        <w:rPr>
          <w:b/>
        </w:rPr>
        <w:t>E. 1</w:t>
      </w:r>
    </w:p>
    <w:p>
      <w:r>
        <w:t>Die Eintretensvoraussetzungen geben keinen Anlass zu Bemerkun- gen. Auf die Beschwerde – ist unter Vorbehalt einer rechtsgenüglichen Begründung (Art. 42 Abs. 2 BGG) – einzutreten.</w:t>
      </w:r>
    </w:p>
    <w:p>
      <w:r>
        <w:rPr>
          <w:b/>
        </w:rPr>
        <w:t>E. 2.1</w:t>
      </w:r>
    </w:p>
    <w:p>
      <w:r>
        <w:t>Es ist nach wie vor umstritten, ob die Beschwerdegegnerin ge- stützt auf Art. 40 VVG vom Versicherungsvertrag mit dem Beschwer- deführer zurücktreten durfte, nachdem dieser ihr im Nachgang zu sei- nem Unfall vom 3. März 2011 mit E-Mail vom 11. März 2011 einen zu hohen Kaufpreis des beschädigten Fahrzeuges genannt hat. Gemäss Ziffer C 3.321 der Allgemeinen und Ergänzenden Versiche- rungsbedingungen (nachfolgend: AVB) ist der Kaufpreis für die Be- stimmung der Leistungspflicht der Beschwerdegegnerin massgebend. Der Beschwerdeführer ist jedoch der Ansicht, dass der Kaufpreis des versicherten Fahrzeuges irrelevant sei, weil die Versicherungsleistung im Schadensfall einzig vom vereinbarten Fahrzeugwert von Fr. 81'500.-- und nicht vom effektiv bezahlten Kaufpreis von Fr. 38'700.-- abhänge. Er macht geltend, die Parteien hätten eine den AVB und damit auch Ziffer C 3.321 vorgehende Individualabrede getroffen, wonach der Kaufpreis für die Bemessung der Leistungspflicht der Beschwerde- gegnerin im Versicherungsfall keine Rolle spiele.</w:t>
      </w:r>
    </w:p>
    <w:p>
      <w:r>
        <w:rPr>
          <w:b/>
        </w:rPr>
        <w:t>E. 2.2</w:t>
      </w:r>
    </w:p>
    <w:p>
      <w:r>
        <w:t>Die Vorinstanz verneinte das Vorliegen einer solchen Individual- abrede bzw. kam zum Schluss, dem Beschwerdeführer sei der Nach- weis nicht gelungen, dass er mit der Beschwerdegegnerin eine den AVB vorgehende Individualabrede getroffen habe. Auf dem schrift- lichen, vom Beschwerdeführer unterzeichneten Antrag sei nichts von Seite 3</w:t>
      </w:r>
    </w:p>
    <w:p>
      <w:r>
        <w:t>einer Individualabrede vermerkt. Im Gegenteil, auf der letzten Seite werde darauf hingewiesen, dass Abmachungen oder Zusagen des Verkaufsdienstes in Abweichung von dem gedruckten Antrag oder von den AVB für die Beschwerdegegnerin nur verbindlich seien, wenn sie von der zuständigen Stelle schriftlich bestätigt würden. So habe auch der Versicherungsagent C.________, der zwar vom Schnäppchenkauf des Beschwerdeführers gewusst habe, nicht bestätigt, dass die Par- teien eine Individualabrede getroffen hätten, sondern hätte vielmehr ausgesagt, dass die übliche Kaskoversicherung mit den üblichen Zeit- wertzusatzbedingungen gemäss AVB vereinbart worden seien. Auch aus dem Informationsblatt könne der Beschwerdeführer nichts zu sei- nen Gunsten ableiten; dabei handle es sich bloss um eine Verkaufs- hilfe bzw. ein Informationsblatt, welches der Versicherungsagent an- lässlich des Verkaufsgesprächs dem Beschwerdeführer abgegeben habe. Das Blatt enthalte nur eine kurze Erklärung der versicherbaren Bausteine und der wichtigsten Ausdrücke und habe rein informativen Charakter, was auf dem Blatt auch ausdrücklich festgehalten worden sei. Schliesslich deute auch das Verhalten des Beschwerdeführers nach Vertragsschluss nicht auf das Vorliegen einer Individualabrede hin. Denn obwohl in der Police als Entschädigungsart "Zeitwertzusatz gemäss C 3.321 AVB" vermerkt sei, habe der Beschwerdeführer gegen die Police nicht remonstriert. Hätte er nämlich beim Versicherungs- abschluss tatsächlich derart Gewicht darauf gelegt, dass sein Schnäpp- chenpreis im Schadensfall höher versichert werde und hätte dem- entsprechend tatsächlich die behauptete Individualabrede mit dem Versicherungsagenten C.________ getroffen werden sollen, so wäre zu erwarten gewesen, dass er die Police bezüglich der Entschädigungsart bei Totalschaden genau studiere und entsprechend interveniere. Der Kaufpreis sei demnach für die Leistungspflicht des Versicherers relevant gewesen, weshalb der Beschwerdeführer über eine Tatsache i.S.v. Art. 40 VVG getäuscht habe.</w:t>
      </w:r>
    </w:p>
    <w:p>
      <w:r>
        <w:rPr>
          <w:b/>
        </w:rPr>
        <w:t>E. 3.1</w:t>
      </w:r>
    </w:p>
    <w:p>
      <w:r>
        <w:t>Allgemeine Versicherungsbedingungen sind für das Vertragsver- hältnis nur insoweit relevant, als sie, wenn sie dem individuellen Ver- tragsverhältnis inkorporiert worden sind, die Vermutung schaffen, ihr Inhalt sei insgesamt von den Parteien gewollt. Wenn die Vertrags- parteien jedoch eine von den AVB abweichende Willenserklärung ab- geben, kann dies von ihnen vernünftigerweise nur so gedeutet wer- den, dass diese konkrete Erklärung den abstrakten AVB vorgehen (BGE 125 III 263 E. 4b/bb S. 267; 123 III 35 E. 5c/bb S. 44; Urteil 5C.271/2004 vom 12. Juli 2005 E. 2; vgl. auch ERNST KRAMER, Berner Kommentar zum Obligationenrecht, 1986, N. 210 zu Art. 1 OR). Eine Seite 4</w:t>
      </w:r>
    </w:p>
    <w:p>
      <w:r>
        <w:t>Individualabrede kann auch bloss mündlich vereinbart werden (CORINNE ZELLWEGER-GUTKNECHT/EUGEN BUCHER, in: Basler Kommentar, Obligationenrecht I, 6. Aufl. 2015, N. 54 zu Anh. Art. 1 OR).</w:t>
      </w:r>
    </w:p>
    <w:p>
      <w:r>
        <w:rPr>
          <w:b/>
        </w:rPr>
        <w:t>E. 3.2</w:t>
      </w:r>
    </w:p>
    <w:p>
      <w:r>
        <w:t>Aus dem Versicherungsantrag vom 10. September 2009 geht her- vor, dass "Abmachungen oder Zusagen des Verkaufsaussendienstes in Abweichung von der gedruckten Offerte, von dem gedruckten Antrag oder von den Allgemeinen und Ergänzenden Vertragsbestimmungen (...) für die AXA (...) nur verbindlich [sind], wenn sie von der zuständigen Stelle schriftlich bestätigt worden sind". Eine solche schriftliche Bestätigung liegt unbe- strittenermassen nicht vor, weshalb man daraus schliessen könnte, es könne gar keine den AVB vorgehende Individualabrede getroffen wer- den bzw. der Versicherungsagent sei nicht dazu ermächtigt gewesen. Die Vorinstanz nennt diese Klausel zwar im angefochtenen Entscheid, stützt ihre Begründung jedoch nicht darauf ab. Ebenso wenig hat sich die Beschwerdegegnerin – weder im vorinstanzlichen noch im bundes- gerichtlichen Verfahren – darauf berufen. Zu Recht, denn auch mit einer solchen "Sperrklausel" können abweichende mündliche Indivi- dualabreden nicht in jedem Fall verhindert werden, da die anders lautende mündliche Vereinbarung (auch bei Abreden mit Hilfsperso- nen bzw. mit einem Versicherungsagenten) zu einem konkludenten Verzicht auf das Erfordernis der Schriftform führen kann (NADIA WALKER, Kontrolle von Konsumenten-AGB unter besonderer Berücksichtigung der Inhaltskontrolle nach Art. 8 UWG, 2015, S. 47; FRANZISKA MARTHA BETSCHART, Der Grundpfandvertrag und die Allgemeinen Geschäftsbedingungen der Banken, 2011, S. 79 f. Rz. 277). Es ist dabei gemäss dem Vertrauensprinzip auf die konkreten Umstände des Einzelfalles abzustellen.</w:t>
      </w:r>
    </w:p>
    <w:p>
      <w:r>
        <w:rPr>
          <w:b/>
        </w:rPr>
        <w:t>E. 4.1</w:t>
      </w:r>
    </w:p>
    <w:p>
      <w:r>
        <w:t>Die Vorinstanz ging im angefochtenen Entscheid davon aus, dass "der Inhalt des zwischen den Parteien geschlossenen Versicherungsvertrages vom 10. September 2009 (...) nicht sogleich nach dem Vertrauensprinzip auszulegen [ist], vielmehr (...) der Kläger zunächst nachzuweisen [hat], dass er mit der Beklagten überhaupt eine Individualabrede getroffen hat". Der Beschwerdeführer rügt, diese Auffassung der Vorinstanz sei bundes- rechtswidrig. Er macht geltend, die Vorinstanz habe verkannt, dass nicht nur bezüglich dem Inhalt eines Vertrages, sondern auch bezüg- lich der Frage, ob überhaupt ein Vertrag zustandegekommen sei, das Vertrauensprinzip zur Anwendung komme. Entsprechend habe die Vorinstanz nicht geprüft, wie die Handlungsweise des Versicherungs- agenten bzw. die Aushändigung des Informationsblattes durch den- selben mit Beschrieb der Leistung im Schadenfall nach Treu und Glau- Seite 5</w:t>
      </w:r>
    </w:p>
    <w:p>
      <w:r>
        <w:t>ben vom Vertragspartner habe verstanden werden dürfen und müs- sen. Diese Rüge ist berechtigt. Die Vorinstanz hat für die Frage, ob eine Individualabrede getroffen wurde, einzig nach der tatsächlichen Willensübereinstimmung geforscht, den diesbezüglichen Nachweis verneint. Sie hat nicht weiter geprüft, ob eine Individualabrede nach dem Vertrauensprinzip anzunehmen ist.</w:t>
      </w:r>
    </w:p>
    <w:p>
      <w:r>
        <w:rPr>
          <w:b/>
        </w:rPr>
        <w:t>E. 4.2</w:t>
      </w:r>
    </w:p>
    <w:p>
      <w:r>
        <w:t>Der Bestand eines Vertrages ist wie dessen Inhalt durch Aus- legung der Willensäusserungen der Parteien zu bestimmen. Ziel der Vertragsauslegung ist es, in erster Linie den übereinstimmenden wirk- lichen Willen der Parteien festzustellen (vgl. Art. 18 Abs. 1 OR). Diese subjektive Vertragsauslegung beruht auf Beweiswürdigung, die vorbe- hältlich der Ausnahmen von Art. 97 und 105 BGG der bundesge- richtlichen Überprüfung entzogen ist. Erst wenn eine tatsächliche Wil- lensübereinstimmung unbewiesen bleibt, sind zur Ermittlung des mut- masslichen Parteiwillens die Erklärungen der Parteien aufgrund des Vertrauensprinzips so auszulegen, wie sie nach ihrem Wortlaut und Zusammenhang sowie den gesamten Umständen verstanden werden durften und mussten. Massgebend ist dabei der Zeitpunkt des Ver- tragsabschlusses. Nachträgliches Parteiverhalten ist bei der Ausle- gung nach dem Vertrauensprinzip nicht von Bedeutung; es kann höchstens – im Rahmen der Beweiswürdigung – auf einen tatsäch- lichen Willen der Parteien schliessen lassen. Das Bundesgericht über- prüft diese objektivierte Auslegung von Willenserklärungen als Rechts- frage, wobei es an Feststellungen des kantonalen Richters über die äusseren Umstände sowie das Wissen und Wollen der Beteiligten grundsätzlich gebunden ist (Art. 105 Abs. 1 BGG; BGE 132 III 626 E. 3.1 S. 632 mit Hinweisen).</w:t>
      </w:r>
    </w:p>
    <w:p>
      <w:r>
        <w:rPr>
          <w:b/>
        </w:rPr>
        <w:t>E. 4.3</w:t>
      </w:r>
    </w:p>
    <w:p>
      <w:r>
        <w:t>In tatsächlicher Hinsicht steht fest, dass der Versicherungsagent C.________ im Zeitpunkt der Vertragsverhandlungen über den sehr tiefen vom Beschwerdeführer bezahlten Kaufpreis des Fahrzeuges informiert wurde. Er wusste folglich vom "Schnäppchenkauf" des Be- schwerdeführers, insbesondere, dass dieser lediglich EUR 25'200.-- bzw. Fr. 38'700.-- für sein Fahrzeug bezahlt hat. Anlässlich dieses Ge- sprächs und in Kenntnis dieser Tatsache hat der Versicherungsagent dem Beschwerdeführer geraten, eine Zeitwertzusatzversicherung für sein Fahrzeug abzuschliessen, wobei er ihm ein Informationsblatt ausgehändigt hat, welches er nach eigenen Aussagen als "Verkaufs- hilfe" beigezogen hat. In diesem Informationsblatt wird – anders als in den AVB – kein Bezug auf den Kaufpreis genommen. Vielmehr steht unter dem Titel "Entschädigung bei Totalschaden": "Das ist der Betrag, den Sie bei einem Totalschaden erhalten", wobei sich die nachfolgende Be- Seite 6</w:t>
      </w:r>
    </w:p>
    <w:p>
      <w:r>
        <w:t>rechnung der Leistungen im Kaskofall im Rahmen der Zeitwertzusatz- versicherung einzig auf den versicherten Fahrzeugwert bezieht. Der Kaufpreis war gemäss den Vorbringen des Beschwerdeführers auch nicht weiter Thema des Verkaufsgesprächs und auch der Versiche- rungsagent hat anlässlich seiner Zeugeneinvernahme ausgesagt, dass ihm der Kaufpreis "egal" gewesen sei. Entsprechend mag sich der Versicherungsagent nach eigenen Aussagen auch nicht mehr daran erinnern, dem Beschwerdeführer im Zeitpunkt des Verkaufsgesprächs gesagt zu haben, dass der Kaufpreis die maximale Auszahlung in einem Schadensfall sein könne. Nach Massgabe des Vertrauensgrundsatzes sind die persönlichen Vorstellungen des Versicherungsnehmers soweit massgebend, als sie für den Versicherer erkennbar sind (Urteile 4A_187/2007 vom 9. Mai 2008 E. 5.1 sowie 5C.220/2000 vom 11. Dezember 2000 E. 2a). Für den Versicherungsagenten war klar erkennbar, dass der Beschwer- deführer seinen "Schnäppchenkauf" optimal versichern wollte. Der Be- schwerdeführer durfte daher nach Treu und Glauben darauf vertrauen, dass ihm nicht eine Zusatzversicherung angeboten wird, die dem tiefen Kaufpreis keine Rechnung trägt und im Kaskofall bis zum sechsten Betriebsjahr kaum einen Nutzen haben kann. Er durfte sich darauf verlassen, dass sich die Leistung im Schadensfall wie im Infor- mationsblatt angegeben, nach dem (höheren) Fahrzeugwert berechnet und musste nicht damit rechnen, dass die ihm ausgehändigte Infor- mation in wesentlicher Weise von den AVB abweicht, welche auf den effektiv bezahlten Kaufpreis statuieren; er durfte davon ausgehen, dass die im Informationsblatt angegebenen Angaben richtig sind und die für ihn wesentlichen Fragen behandeln, für welche er eine Zusatz- versicherung für sein Fahrzeug abgeschlossen hat. Deshalb ändert nichts daran, dass das Informationsblatt "rein informativen Charakter" hat, denn auch ein Informationsblatt darf keine irreführenden Ausfüh- rungen enthalten.</w:t>
      </w:r>
    </w:p>
    <w:p>
      <w:r>
        <w:rPr>
          <w:b/>
        </w:rPr>
        <w:t>E. 4.4</w:t>
      </w:r>
    </w:p>
    <w:p>
      <w:r>
        <w:t>Der Beschwerdeführer durfte sich folglich auf die ihm bei den Ver- tragsverhandlungen vom Vertreter der Beschwerdegegnerin bzw. dem Versicherungsagenten C.________ gegebenen Informationen über die im Schadensfall auszurichtende Leistung bei der Zeitwertzusatzver- sicherung verlassen. Nach Treu und Glauben ist diese abweichende Vereinbarung zum Vertragsinhalt zwischen der Beschwerdegegnerin und dem Beschwerdeführer geworden, denn die Beschwerdegegnerin hat sich das Verhalten ihres Versicherungsagenten gemäss Art. 34 VVG anrechnen zu lassen. Daran ändert die spätere Aushändigung der AVB mit abweichendem Inhalt an den Beschwerdeführer nichts. Seite 7</w:t>
      </w:r>
    </w:p>
    <w:p>
      <w:r>
        <w:t>Ebenso wenig der Umstand, dass der Beschwerdeführer den ab- weichenden Inhalt der AVB gegenüber der vom Versicherungsagenten gegebenen Information nicht bemerkt und der Beschwerdegegnerin in Anwendung von Art. 12 VVG nicht gemeldet hat. Denn nach dem Gesagten musste der Beschwerdeführer nicht damit rechnen, dass die ihm erteilte Information von den AVB abweicht, weshalb er auch nicht verpflichtet war, die individuelle Zusicherung in diesem Punkt mit den AVB auf Übereinstimmung zu prüfen.</w:t>
      </w:r>
    </w:p>
    <w:p>
      <w:r>
        <w:rPr>
          <w:b/>
        </w:rPr>
        <w:t>E. 5</w:t>
      </w:r>
    </w:p>
    <w:p>
      <w:r>
        <w:t>Da der Kaufpreis für die Entschädigung bei einem Totalschaden ge- mäss individueller Abrede nicht als Obergrenze herangezogen werden darf, hat der Beschwerdeführer die Beschwerdegegnerin auch nicht über eine Tatsache, welche die Leistungspflicht des Versicherers aus- schliessen oder mindern würde, zu täuschen versucht. Ein Vertrags- rücktritt der Beschwerdegegnerin nach Art. 40 VVG ist demnach nicht statthaft. Aufgrund der Zeitwertzusatzversicherung hat die Beschwerdegegnerin den Beschwerdeführer mit 65 % zu entschädigen. Bei einem ver- sicherten Fahrzeugwert von Fr. 81'500.-- entspricht dies dem mit der Klage geltend gemachten Betrag von Fr. 52'975.--.</w:t>
      </w:r>
    </w:p>
    <w:p>
      <w:r>
        <w:rPr>
          <w:b/>
        </w:rPr>
        <w:t>E. 6</w:t>
      </w:r>
    </w:p>
    <w:p>
      <w:r>
        <w:t>Die Beschwerde erweist sich als begründet und der angefochtene Entscheid ist aufzuheben. Die Sache ist zur Neuregelung der Kosten- und Entschädigungsfolgen des kantonalen Verfahrens an die Vorin- stanz zurückzuweisen (Art. 67 und Art. 68 Abs. 5 BGG). Dem Ausgang des Verfahrens entsprechend wird die Beschwerdegeg- nerin für das bundesgerichtliche Verfahren kosten- und entschädi- gungspflichtig (Art. 66 Abs. 1 und Art. 68 Abs. 2 BGG).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