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20160216_d_gr_o_01 vom 16. Februar 2016</w:t>
      </w:r>
    </w:p>
    <w:p>
      <w:r>
        <w:t>FINMA Versicherungsrecht, 2016-02-16, DE</w:t>
      </w:r>
    </w:p>
    <w:p>
      <w:r>
        <w:rPr>
          <w:b/>
        </w:rPr>
        <w:t xml:space="preserve">Quelle: </w:t>
      </w:r>
      <w:r>
        <w:t>https://mcp.opencaselaw.ch/entscheid/finma_versicherungsrecht_20160216_d_gr_o_01</w:t>
      </w:r>
    </w:p>
    <w:p>
      <w:r>
        <w:t>FR: FINMA_VERSICHERUNGSRECHT 20160216_d_gr_o_01 du 16 février 2016</w:t>
      </w:r>
    </w:p>
    <w:p>
      <w:r>
        <w:t>IT: FINMA_VERSICHERUNGSRECHT 20160216_d_gr_o_01 del 16 febbraio 2016</w:t>
      </w:r>
    </w:p>
    <w:p>
      <w:pPr>
        <w:pStyle w:val="Heading2"/>
      </w:pPr>
      <w:r>
        <w:t>Erwägungen</w:t>
      </w:r>
    </w:p>
    <w:p>
      <w:r>
        <w:rPr>
          <w:b/>
        </w:rPr>
        <w:t>E. 1</w:t>
      </w:r>
    </w:p>
    <w:p>
      <w:r>
        <w:t>Der im Jahr 1971 geborene A._____ war zuletzt bei der C._____ AG als Mitglied der Geschäftsleitung sowie in diversen Positionen (Quality Ma- nager/Manger Integrated Management Systems and Quality As- surance/Program Manager for Product Cost Reduction/Supply Chain Ma- nager/Projekt Manager New Product Introduction) angestellt und in die- sem Rahmen bei der B._____ AG krankentaggeldversichert. Am 10. Mai 2012 meldete die Arbeitgeberin der B._____ AG, dass A._____ infolge psychischer Krankheit die Arbeit seit dem 19. März 2012 vollständig habe niederlegen müssen und bei Dr. med. D._____ in Behandlung stehe. Die- se diagnostizierte gemäss Arztberichten vom 4. und 27. Juni 2012 eine rezidivierende depressive Episode (ICD-10: F33.1) bei einer Arbeitsunfä- higkeit von 100 %. Der konsiliarisch beauftragte Vertrauensarzt der B._____ AG, Dr. med. E._____, verneinte im Arztbericht vom 4. August 2012 einen Krankheitswert. Im Auftrag der B._____ AG führten Dres. med. E._____ und F._____ am 19. September 2012 eine verhal- tensneurologisch-neuropsychologische Untersuchung durch. Dabei er- achteten sie gemäss Arztbericht vom 19. September/15. Oktober 2012 aus rein leistungspsychologischer Sicht unter Berücksichtigung der noch leicht eingeschränkten Belastbarkeit von A._____ eine sukzessive Be- lastbarkeitssteigerung mit einem 50%-Pensum ab 1. Oktober 2012 sowie einer Steigerung des Pensums auf 100 % nach vier Wochen als sinnvoll. Die B._____ AG erbrachte das Krankentaggeld analog der bestätigten Arbeitsunfähigkeit bis zum 31. Dezember 2012. Erbracht wurden insge- samt 228 Taggelder. Ab dem 1. Januar 2013 richtete die B._____ AG keine Leistungen mehr aus. Per 31. Oktober 2013 wurde das Arbeitsver- hältnis zwischen A._____ und der C._____ AG aufgelöst.</w:t>
      </w:r>
    </w:p>
    <w:p>
      <w:r>
        <w:rPr>
          <w:b/>
        </w:rPr>
        <w:t>E. 2</w:t>
      </w:r>
    </w:p>
    <w:p>
      <w:r>
        <w:t>Dem Kläger sei ein Zins zu 5 % von Fr. 33'792.70 ab 4. Juli 2013, von Fr. 11'575.40 ab 19. September 2013 und von Fr. 16'989.70 ab dem Datum der Klageeinreichung, jeweils zu 5 % zu bezahlen.</w:t>
      </w:r>
    </w:p>
    <w:p>
      <w:r>
        <w:rPr>
          <w:b/>
        </w:rPr>
        <w:t>E. 3</w:t>
      </w:r>
    </w:p>
    <w:p>
      <w:r>
        <w:t>Dem Kläger sei das Recht auf eine Replik einzuräumen.</w:t>
      </w:r>
    </w:p>
    <w:p>
      <w:r>
        <w:t>Unter Kosten- und Entschädigungsfolge zulasten der Beklagten."</w:t>
      </w:r>
    </w:p>
    <w:p>
      <w:r>
        <w:t>Zur Begründung führte der Kläger im Wesentlichen aus, dass von Dr. med. F._____ kein separater Bericht über die durchgeführte verhal- tensneurologisch-neuropsychologische Untersuchung erstellt worden sei, weshalb nicht klar sei, auf welche Weise die Untersuchung erfolgt sei. Der Bericht von Dr. med. F._____ sei als Behauptung zu werten, welche mangels Untersuchungsbericht nicht näher überprüft werden könne und deshalb auch nicht beweiswertig sei. Es sei auf die Arztberichte von Dr. med. D._____ sowie das Gutachten von Dr. med. G._____ vom</w:t>
      </w:r>
    </w:p>
    <w:p>
      <w:r>
        <w:rPr>
          <w:b/>
        </w:rPr>
        <w:t>E. 6</w:t>
      </w:r>
    </w:p>
    <w:p>
      <w:r>
        <w:t>In einem dritten Schriftenwechsel vertieften die Parteien ihre Argumenta- tion.</w:t>
      </w:r>
    </w:p>
    <w:p>
      <w:r>
        <w:rPr>
          <w:b/>
        </w:rPr>
        <w:t>E. 7</w:t>
      </w:r>
    </w:p>
    <w:p>
      <w:r>
        <w:t>Der Kläger beantragt überdies die Verzinsung von Fr. 33'792.70 seit dem 4. Juli 2013, von Fr. 11'575.40 seit dem 19. September 2013 und von Fr. 16'989.70 seit dem Datum der Klageeinreichung, jeweils zu 5 %. We- der die Allgemeinen Bedingungen (AB) für die Kollektiv-Krankenver- sicherung noch die Zusatzbedingungen (ZB) für die Krankentaggeld- Versicherung enthalten vorliegend Bestimmungen über allfällige Verzugs- folgen. Da der Leistungs- oder Zahlungsverzug auch im VVG nicht gere- gelt ist, kommen gestützt auf Art. 100 VVG die gesetzlichen Regeln von Art. 102 ff. OR zur Anwendung. Gemäss Art. 104 Abs. 1 OR hat der Schuldner, der mit der Zahlung einer Geldschuld im Verzug ist, einen Verzugszins von 5 % für das Jahr zu zahlen. Voraussetzung für den Ver- zug sind die Fälligkeit der Forderung sowie die Inverzugsetzung des</w:t>
      </w:r>
    </w:p>
    <w:p>
      <w:r>
        <w:t>- 21 - Schuldners (durch Mahnung oder Verfalltag/Fristablauf; BGE 129 III 535 E.3.2; WIEGAND, in: HONSELL/VOGT/WIEGAND [Hrsg.], Basler Kommentar, Obligationenrecht I, 5. Aufl., Basel 2011, Rz. 3 zu Art. 104 OR). Nachdem die Leistungspflicht der Beklagten am 1. Januar 2013 nicht endete, waren die seither aufgelaufenen Taggeldzahlungen im Zeitpunkt ihrer Geltend- machung zweifellos fällig. Bereits mit Schreiben vom 4. Juli (Kl-act. 23) sowie vom 19. September 2013 (Kl-act. 25) hat der Rechtsvertreter des Klägers die unverzügliche Wiederaufnahme der Taggeldzahlungen ver- langt. Damit waren die Ausstände rechtsgenüglich gemahnt und auch der Verzugszinsantrag ist somit − soweit die Taggeldleistungen bis zum 6. Oktober 2013 betreffend − gutzuheissen. Folglich hat die Beklagte dem Kläger ein Zins zu 5 % von Fr. 33'792.70 (1. Januar bis 30. Juni 2013 [181 Tage à Fr. 186.70]) ab dem 4. Juli 2013, von Fr. 11'575.40 (1. Juli bis 31. August 2013 [62 Tage à Fr. 186.70]) ab dem 19. September 2013 und von Fr. 6'721.20 (1. September bis 6. Oktober 2013 [36 Tage à Fr. 186.70]) ab dem Datum der Klageeinreichung (20. Dezember 2013) zu bezahlen.</w:t>
      </w:r>
    </w:p>
    <w:p>
      <w:r>
        <w:rPr>
          <w:b/>
        </w:rPr>
        <w:t>E. 8</w:t>
      </w:r>
    </w:p>
    <w:p>
      <w:r>
        <w:t>% MWST von Fr. 7'081.25 [= Fr. 566.50]), welche übernommen werden kann, ergibt dies eine Parteientschädigung von Fr. 5'098.50 (inkl. MWST). In diesem Umfang hat die Beklagte den Kläger aussergerichtlich zu ent- schädigen.</w:t>
      </w:r>
    </w:p>
    <w:p>
      <w:r>
        <w:t>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