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20151029_f_ge_o_01 vom 29. Oktober 2015</w:t>
      </w:r>
    </w:p>
    <w:p>
      <w:r>
        <w:t>FINMA Versicherungsrecht, 2015-10-29, FR</w:t>
      </w:r>
    </w:p>
    <w:p>
      <w:r>
        <w:rPr>
          <w:b/>
        </w:rPr>
        <w:t xml:space="preserve">Quelle: </w:t>
      </w:r>
      <w:r>
        <w:t>https://mcp.opencaselaw.ch/entscheid/finma_versicherungsrecht_20151029_f_ge_o_01</w:t>
      </w:r>
    </w:p>
    <w:p>
      <w:r>
        <w:t>FR: FINMA_VERSICHERUNGSRECHT 20151029_f_ge_o_01 du 29 octobre 2015</w:t>
      </w:r>
    </w:p>
    <w:p>
      <w:r>
        <w:t>IT: FINMA_VERSICHERUNGSRECHT 20151029_f_ge_o_01 del 29 ottobre 2015</w:t>
      </w:r>
    </w:p>
    <w:p>
      <w:pPr>
        <w:pStyle w:val="Heading2"/>
      </w:pPr>
      <w:r>
        <w:t>Erwägungen</w:t>
      </w:r>
    </w:p>
    <w:p>
      <w:r>
        <w:rPr>
          <w:b/>
        </w:rPr>
        <w:t>E. 1</w:t>
      </w:r>
    </w:p>
    <w:p>
      <w:r>
        <w:t>a) 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loi fédérale sur l’assurance- maladie du 18 mars 1994 (LAMal - RS 832.10). Le canton de Genève a fait usage de cette faculté en prévoyant, à l'art. 134 al. 1 let. c de la loi sur l'organisation judiciaire, du 26 septembre 2010 (LOJ - E 2 05) en vigueur depuis le 1er janvier 2011, que la chambre des assurances sociales de la Cour de justice connaît en instance unique des contestations relatives aux assurances complémentaires à l’assurance-maladie sociale, relevant de la loi fédérale sur le contrat d'assurance, du</w:t>
      </w:r>
    </w:p>
    <w:p>
      <w:r>
        <w:rPr>
          <w:b/>
        </w:rPr>
        <w:t>E. 1.2</w:t>
      </w:r>
    </w:p>
    <w:p>
      <w:r>
        <w:t>; Laurent KILLIAS, Berner Kommentar, Schweizerische Zivilprozessordnung, Band I : art. 1-149 ZPO, 2012, n. 9 ad art. 221 CPC ;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Si le tribunal – le cas échéant suite à une protestation du défendeur – considère que les conditions pour la prise de conclusions non chiffrées ne sont pas remplies, il fixe au demandeur un délai pour rectifier l’acte, conformément à son devoir d’interpellation et au principe de l’interdiction du formalisme excessif consacré à</w:t>
      </w:r>
    </w:p>
    <w:p>
      <w:r>
        <w:t>A/203/2015 - 10/23 - l’art. 29 de la Constitution fédérale de la Confédération suisse, du 18 avril 1999 (Cst - RS 101) (BOHNET, op. cit., n. 25 ad art. 86 CPC et n. 29 ad art. 132 CPC). Cependant, se fondant sur divers arrêts rendus sous l’ancien droit (arrêts du Tribunal fédéral 4C.255/2006 du 2 octobre 2006 consid. 4.2 ; 4P.297/2001 du 26 mars 2002 consid. 2.a), la doctrine relève que le juge amené à appliquer la maxime inquisitoire sociale doit le faire avec retenue, comme en cas de litige soumis à la maxime des débats (arrêt du Tribunal fédéral 4D_57/2013 du 2 décembre 2013 consid. 3.2 et les références citées), lorsqu’une des parties, à plus forte raison, les deux sont assistées d’un avocat ou d’un autre mandataire professionnel (Message CPC, p. 6956 ; KILLIAS, op. cit., n. 33 ad art. 247 CPC ; Patricia DIETSCHY, Le déroulement de la procédure simplifiée, in Procédure civile suisse, les grands thèmes pour les praticiens, 2010, p. 190 ; BOHNET, op. cit., n. 25 ad art. 247 CPC). En effet, le juge est en droit d'admettre que l’avocat agit en pleine connaissance de cause: il est présumé capable, en raison de sa formation particulière, de représenter utilement la partie ; il se justifie dès lors de se montrer plus rigoureux en présence de ses procédés qu'en présence des procédés d'un plaideur ignorant du droit (ATF 113 Ia 84 consid. 3d). Le demandeur soutient, dans son mémoire de réplique du 12 mars 2015, que ses prétentions ne peuvent pas être aisément calculées, étant donné la nécessité pour ce faire de tenir compte d’une éventuelle coordination avec des prestations LPP et de déterminer, au préalable, le délai d’attente ainsi que le salaire assuré durant la période en question. Cet argument n’est pas fondé. En effet, les éléments nécessaires et la méthode à appliquer pour calculer le montant des indemnités journalières figurent dans le contrat d’assurance, les certificats médicaux établis par le Dr D______ attestant du taux et de la durée de son incapacité de travail ainsi que dans le document « Assurance collective d’indemnité journalière en cas de maladie – Information sur le produit et conditions contractuelles » édition 2011, pièces que la défenderesse a produites à l’appui de sa réponse du 19 février 2015. À cet égard, il n’incombait pas à la chambre de céans d’interpeller le demandeur, assisté par un mandataire professionnel, pour qu’il chiffre ses prétentions, dans la mesure où celui-ci a eu l’occasion, dans le délai suffisamment long qui lui a été accordé pour répliquer et consulter le dossier, de pallier ce manquement auquel la défenderesse l’avait d’ailleurs rendu attentif notamment dans sa réponse du 19 février 2015. Au vu de ce qui précède, la conclusion du recourant tendant à la prise en charge de son incapacité de travail dès le 15 avril 2014 doit être déclarée irrecevable.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 et la chambre de céans établit les faits d'office (art. 247 al. 2 let. a CPC).</w:t>
      </w:r>
    </w:p>
    <w:p>
      <w:r>
        <w:rPr>
          <w:b/>
        </w:rPr>
        <w:t>E. 3</w:t>
      </w:r>
    </w:p>
    <w:p>
      <w:r>
        <w:t>a) La chambre de céans relève en premier lieu que le demandeur a interjeté à tort un « recours pour déni de justice » au lieu d’une demande en paiement d’indemnités journalières à partir du 15 avril 2014. En effet,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 entre autres auteurs: Vincent BRULHART, L'assurance collective contre la perte de gain en cas de maladie, in Le droit social dans la pratique de l'entreprise, 2006, p. 103). La volonté du législateur était de protéger l’assuré malade ou accidenté contre le risque que le preneur d’assurance s’enrichisse à son détriment (ATF 141 III 112 consid. 4.3 ; arrêt du Tribunal fédéral 5C.3/2003 du 31 mars 2003 consid. 3.3). Cette disposition institue une créance indépendante au profit de l'ayant droit, créance qui naît au moment de la survenance du cas d'assurance. Nonobstant cette erreur dans le libellé de l’acte, la chambre de céans admettra la recevabilité de la demande, dans la mesure où elle respecte les conditions de forme requises (art. 244 et 130 CPC) et que les termes de l’écriture du demandeur permettent de comprendre qu’il conteste avoir commis une réticence justifiant la</w:t>
      </w:r>
    </w:p>
    <w:p>
      <w:r>
        <w:t>A/203/2015 - 9/23 - résiliation du contrat d’assurance et requiert le versement des indemnités journalières découlant de son incapacité de travail. b) Il convient encore d’examiner la recevabilité de la conclusion du demandeur tendant à la prise en charge par la défenderesse de son incapacité de travail à partir du 15 avril 2014, autrement dit au paiement d’indemnités journalières en sa faveur dès cette date. Bien qu'il s’agisse d’une action tendant au paiement d’une somme d’argent, le demandeur n’articule aucun montant et son écriture ne permet pas de déterminer la période sur laquelle les indemnités journalières portent. A cet égard, il convient de rappeler que les conclusions doivent être déterminées avec suffisamment de précision ; ainsi celles qui portent sur une somme d’argent doivent être chiffrées, conformément à l’art. 84 al. 2 CPC (ATF 134 III 235 consid. 2 ; arrêt du Tribunal fédéral 5A_11/2014 du 3 juillet 2014 consid.</w:t>
      </w:r>
    </w:p>
    <w:p>
      <w:r>
        <w:rPr>
          <w:b/>
        </w:rPr>
        <w:t>E. 4</w:t>
      </w:r>
    </w:p>
    <w:p>
      <w:r>
        <w:t>L'objet du litige consiste à déterminer si le demandeur a commis une réticence, si la défenderesse était fondée, pour ce motif, à se départir du contrat d’assurance collectif d’indemnité journalière et, cas échéant, si la résiliation a été effectuée en temps utile.</w:t>
      </w:r>
    </w:p>
    <w:p>
      <w:r>
        <w:t>A/203/2015 - 11/23 -</w:t>
      </w:r>
    </w:p>
    <w:p>
      <w:r>
        <w:rPr>
          <w:b/>
        </w:rPr>
        <w:t>E. 5</w:t>
      </w:r>
    </w:p>
    <w:p>
      <w:r>
        <w:t>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ATF 134 III 511 consid. 3.3.4).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ATF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4A_579/2009 du 1er février 2010 consid. 2.5).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le processus décisionnel, l'art. 4 al. 3 LCA présume que le fait est important s'il fait l'objet d'une question écrite de l'assureur, précise et non équivoque. Il ne s'agit cependant que d'une présomption que l'ayant droit peut renverser (ATF 136 III 334 consid. 2.4 ; ATF 134 III 511 consid. 3.3.4). Pour les réticences survenues dès le 1er janvier 2006, l'art. 6 LCA a été modifié et exige, pour que l'assureur puisse refuser sa prestation (ATF 138 III 416 consid. 6), que l'inexactitude qui a été l'objet de la réticence ait influé sur la survenance ou l'étendue du sinistre (art. 6 al. 3 LCA).</w:t>
      </w:r>
    </w:p>
    <w:p>
      <w:r>
        <w:t>A/203/2015 - 12/23 - b) Les conséquences de la réticence sont lourdes pour l'ayant droit, du moment que l'assureur est en droit de résilier le contrat. Non seulement l’assureur n’est plus lié pour l’avenir, mais il peut aussi refuser sa prestation pour un sinistre déjà survenu ou obtenir le remboursement de la prestation qu’il a accordée pour un tel sinistre (art. 6 al. 3 LCA). La résiliation doit intervenir par écrit et prend effet dès qu’elle parvient au preneur d’assurance (art. 6 al. 1 LCA). La jurisprudence exige qu'elle soit motivée avec précision; elle doit mentionner la question qui a reçu une réponse inexacte et préciser de façon circonstanciée en quoi consiste l'inexactitude (ATF 129 III 713 consid. 2.1).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du Tribunal fédéral 4A_54/2011 du 27 avril 2011 consid. 2.4 publié in JdT 2012 II 136). Le comportement de l'assureur peut cependant être considéré comme abusif s'il a eu la possibilité de prendre connaissance des éléments constitutifs de la réticence longtemps auparavant sur la base des renseignements en sa possession (arrêt du Tribunal fédéral 4A_177/2008 du 14 octobre 2008 consid. 6).</w:t>
      </w:r>
    </w:p>
    <w:p>
      <w:r>
        <w:rPr>
          <w:b/>
        </w:rPr>
        <w:t>E. 6</w:t>
      </w:r>
    </w:p>
    <w:p>
      <w:r>
        <w:t>La défenderesse fait grief au demandeur d’avoir commis une réticence en ayant répondu de façon erronée à la question numéro 6 du questionnaire de santé, cachant ainsi des informations importantes. Le demandeur conteste avoir commis une réticence. Il n’est pas contesté qu’en date du 31 décembre 2011, le demandeur a répondu par la négative à la question numéro 6 du questionnaire de santé, à savoir si, durant les cinq dernières années, il avait été examiné, conseillé, traité, contrôlé par un médecin, un psychiatre, un psychologue, un psychothérapeute, un chiropraticien, un physiothérapeute, un guérisseur, un ostéopathe, une personne pratiquant la médecine chinoise traditionnelle ou une autre personne de formation médicale à cause de maladies, d’accidents, de douleurs, de troubles de la santé, d’anomalies ou d’infirmités congénitales. Or, il résulte des rapports médicaux que le demandeur, souffrant d’épicondylite, avait consulté le Dr E______ en 2005, 2007, 2008 et 2009, et qu’il avait été en incapacité de travail du 4 juillet au 12 décembre 2005 et du 18 janvier au 30 mai (ou septembre) 2008. En outre, le Dr D______, médecin traitant, qui suit le demandeur depuis le 15 avril 2014 pour une épicondylite bilatérale et un syndrome du tunnel carpien bilatéral, a confirmé qu’il présentait des troubles de longue date, c’est-à-dire depuis environ 7-8 ans (cf. rapports du Dr D______ des 2 juin 2014 et 13 août 2014). Par conséquent, force est de constater que le demandeur n'a pas répondu correctement à la question susvisée et a omis de déclarer les consultations auprès du</w:t>
      </w:r>
    </w:p>
    <w:p>
      <w:r>
        <w:t>A/203/2015 - 13/23 - Dr E______, dont les dernières remontaient à deux ans. Il a ainsi caché à la défenderesse des faits importants pour l’appréciation du risque. Dans un premier argument, le demandeur soutient que les questions numéros 6 et 7 let. b) posées par la défenderesse prêtent à confusion et qu’il était en droit de comprendre qu’il ne devait mentionner à la question numéro 6 se rapportant au suivi médical durant les cinq dernières années que les maladies ou accidents qui avaient restreint sa capacité de travail durant plus de quatre semaines consécutives au cours des cinq dernières années. Cet allégué n’est pas fondé. En effet, aussi bien la structure des questions, séparées en deux chiffres distincts, posées l’une après l’autre, que leur libellé clair et non équivoque ne permettent pas d’admettre qu’il avait donné de bonne foi une réponse inexacte à la question numéro 6 en se référant à la réponse attendue à la question numéro 7 let. b). Les explications du demandeur sont d'autant moins plausibles qu’il avait de surcroît répondu de façon erronée à la question 7 let. b) en taisant l’incapacité de travail de plusieurs mois subie en 2008, ce qu’il ne pouvait ignorer. Enfin, l’argument selon lequel il pouvait croire qu’il ne devait pas déclarer les épicondylites de 2007 et de 2009 parce qu’elles étaient guéries n’est pas pertinent, dans la mesure où les questions posées sous le numéro 6 se rapportent à des affections passées susceptibles d'être guéries au moment de remplir la déclaration de santé. Le demandeur ne parvient ainsi pas à renverser la présomption légale de l’art. 4 al. 3 LCA et à démontrer en particulier que la réponse inexacte à la question numéro 6 portait sur un fait sans importance pour l’appréciation du risque et n’avait aucune influence sur la détermination de la volonté de l’assurance lors de la conclusion du contrat. En effet, compte tenu, en l'espèce, de la nature de l’affection susceptible d’entraîner parfois de longues incapacités de travail et de sa probabilité de récidive non négligeable, plus particulièrement chez les travailleurs manuels, il est établi au degré de la vraisemblance prépondérante que la défenderesse n’aurait pas conclu le contrat aux conditions convenues si elle avait connu l’existence des troubles de l’assuré. Au vu de ce qui précède, il y a lieu d’admettre que le demandeur a commis une réticence lors de la conclusion du contrat d’assurance en ne révélant pas, sur question écrite de la défenderesse, qu’il avait souffert d’épicondylites à droite et à gauche au cours des cinq dernières années et consulté un spécialiste. Partant, conformément à l’art. 6 al. 1 LCA, la défenderesse était fondée à résilier le contrat.</w:t>
      </w:r>
    </w:p>
    <w:p>
      <w:r>
        <w:rPr>
          <w:b/>
        </w:rPr>
        <w:t>E. 7</w:t>
      </w:r>
    </w:p>
    <w:p>
      <w:r>
        <w:t>Dans un second argument, le demandeur objecte que nonobstant la réticence, la défenderesse n’était pas en droit de résilier le contrat, dès lors que l’affection dont il souffre actuellement n’a rien à voir avec les épicondylites passées, ces dernières étant au surplus guéries. Selon l’art. 8 ch. 1 LCA, malgré la réticence (art. 6), l’assureur ne pourra pas résilier le contrat si le fait qui a été l’objet de la réticence a cessé d’exister avant le</w:t>
      </w:r>
    </w:p>
    <w:p>
      <w:r>
        <w:t>A/203/2015 - 14/23 - sinistre (art. 8 ch. a1 LCA). Cette disposition n'est bien évidemment pas applicable si la question posée dans le formulaire de proposition porte précisément sur des faits qui sont eux-mêmes passés (Olivier CARRÉ, Loi fédérale sur le contrat d'assurance, édition annotée, 2000, ad art. 8 LCA, p. 155). De plus, l'art. 8 ch. 1 LCA ne trouve pas application lorsque persistent, au moment de la survenance du sinistre, les conséquences d'un fait important au sens de l'art. 4 LCA que l'assuré a dissimulé à l'assurance. Ainsi, il n'est pas possible de considérer qu'une maladie dissimulée mais traitée après la conclusion du contrat a cessé d'exister, si elle est sujette à rechute ou susceptible d'engendrer des conséquences tardives (Urs Ch. NEF, Basler Kommentar, Versicherungsvertragsgesetz, 2001, nn. 4 et 7 ad art. 8 LCA). Or, d’une part, comme vu ci-dessus, à supposer qu’au vu du rapport du Dr E______ du 4 août 2014 ne faisant état d’aucune épicondylite en 2011, il faille considérer les épicondylites du demandeur remontant à 2007-2008 et 2009 comme guéries et donc inexistantes au moment où il a rempli la déclaration de santé, celles-ci constituent des faits passés sur lesquels porte la deuxième alternative visée par la question numéro 6 de la déclaration de santé signée le 31 décembre 2011 (« […] hatten Sie in den letzten 5 Jahren […] »). D’autre part, l’épicondylite dont a souffert le demandeur à droite en 2007-2008 et à gauche en 2009 a toujours existé de façon latente, du fait de son caractère récidivant selon le Dr F______. Le Dr D______ a d’ailleurs mentionné dans son rapport du 2 juin 2014 que le demandeur présentait une épicondylite bilatérale et un syndrome du tunnel carpien, également bilatéral, étant rappelé que sur le plan médical, ces deux affections font partie des troubles musculo-squelettiques du membre supérieur. Dès lors qu’il est établi que l’assuré a répondu de façon inexacte notamment à la question numéro 6, précise et non équivoque, que la présomption de l’art. 4 al. 3 LCA n’a pas été renversée et qu'au surplus l’objet de la réticence n’a pas cessé d’exister avant le sinistre, la défenderesse était en droit de se prévaloir d’une réticence à l’encontre du demandeur et, partant, de résilier le contrat d’assurance. Au vu de ce qui précède, l’argument du demandeur, mal fondé, doit être rejeté.</w:t>
      </w:r>
    </w:p>
    <w:p>
      <w:r>
        <w:rPr>
          <w:b/>
        </w:rPr>
        <w:t>E. 8</w:t>
      </w:r>
    </w:p>
    <w:p>
      <w:r>
        <w:t>Le demandeur allègue enfin que la résiliation du contrat est intervenue tardivement. a) Le délai de quatre semaines de l'art. 6 al. 2 LCA dont dispose l'assureur pour résilier le contrat d'assurance est un délai de péremption (ATF 118 II 333 consid. 3a ; ATF 116 V 218 consid. 6a et les références ; CARRÉ, op. cit., ad art. 6 LCA, p. 148). Le respect du délai doit être prouvé par l'assureur (ATF 118 II 333, consid. 3 ; NEF, op. cit.,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w:t>
      </w:r>
    </w:p>
    <w:p>
      <w:r>
        <w:t>A/203/2015 - 15/23 -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ATF 116 V 218 consid. 6a et les références ; ATF 116 II 338 consid. 2a in fine ; ATF 109 II 159 consid. 2a). Autrement dit, le délai court à partir du moment où l’assureur a eu une connaissance effective, certaine et complète de la réticence et non pas à partir du moment où il aurait pu en avoir connaissance (arrêt du Tribunal fédéral 4A_370/2012 du 4 décembre 2012 consid. 2.1 ; arrêt du Tribunal fédéral 4A_54/2011 du 27 avril 2011 consid. 2.4). De même, les premiers soupçons de l’assureur, même s’ils sont graves, ne font pas courir le délai précité (ATF 118 II 333 consid. 3a ; ATF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 arrêt du Tribunal fédéral 4A_177/2008 du 14 octobre 2008 consid. 6). En l’espèce, le premier rapport du Dr D______, du 2 juin 2014, faisait état d’une épicondylite bilatérale ainsi que d’un syndrome du tunnel carpien dont les troubles étaient apparus de longue date (environ 7 – 8 ans), ce qui a éveillé l’attention de la défenderesse quant à l’éventualité d’une cause de réticence. Les indications figurant dans ledit rapport étaient toutefois insuffisantes pour déterminer s’il y avait eu réticence, dans la mesure où il n’y avait pas de date précise. Il en va de même du rapport du 23 juin 2014 de l’inspecteur des sinistres, dans la mesure où il n’était fait mention que d’une infiltration au niveau du coude droit vers 2005, soit avant la période déterminante. Ce n’est que lorsque la défenderesse a pris connaissance du rapport détaillé du Dr E______ répertoriant précisément toutes les épicondylites passées et les arrêts de travail qui en ont découlé que ses doutes ont été confirmés et que, partant, le délai de l’art. 6 al. 2 LCA pour invoquer la réticence a commencé à courir. La défenderesse allègue avoir reçu le rapport du Dr E______, daté du mardi 4 août 2014, le vendredi 8 août 2014, et produit un extrait de son programme d’archivage de documents sur lequel il est fait mention, sous la rubrique « entrée » (« Eingang ») en date du 8 août 2014, d’un rapport médical dans l’affaire C______. Selon le demandeur, un doute subsiste quant à savoir s’il s’agit du rapport médical du Dr E______ du 4 août 2014.</w:t>
      </w:r>
    </w:p>
    <w:p>
      <w:r>
        <w:t>A/203/2015 - 16/23 - En l’absence d’élément prouvant le contraire, la chambre de céans n’a aucun motif de remettre en cause les documents produits par la défenderesse. Elle retient en conséquence que cette dernière a eu connaissance de la réticence le vendredi 8 août 2014, de sorte que le délai de résiliation échéait quatre semaines plus tard, jour pour jour, soit le vendredi 5 septembre 2014. Il résulte des pièces produites que la lettre de résiliation recommandée a été postée le 4 septembre 2014, qu’un avis de retrait a été déposé dans la boîte aux lettres du demandeur le vendredi 5 septembre 2014 et que son épouse, Madame A______, a retiré le pli recommandé au guichet de la poste, le samedi 6 septembre 2014. Reste à déterminer si la résiliation du contrat est intervenue en temps utile. b) Le délai de quatre semaines de l’art. 6 al. 2 LCA se calcule conformément à l’art. 77 al. 1 ch. 2 de la loi fédérale du 30 mars 1911, complétant le Code civil suisse (CO, Code des obligations – RS 220), aux termes duquel « si le délai est fixé par semaines, la dette est échue le jour qui, dans la dernière semaine, correspond par son nom au jour de la conclusion du contrat » (ATF 129 III 713 consid. 2.1 ; NEF, op. cit., n. 24 ad art. 6 LCA ; Eva POUGET-HÄNSELER, Anzeigepflichtverletzung : Auswirkungen der Revision auf die Praxis, in REAS 2006, p. 29). S’agissant de l’observation du délai légal de quatre semaines, la LCA n’indique pas si la déclaration de résiliation de l’assureur doit parvenir à son destinataire ou s’il suffit qu’elle soit expédiée (le cachet postal faisant foi) avant la fin dudit délai. D’après l’avis isolé de POUGET-HÄNSELER, il suffit que la lettre de résiliation soit expédiée avant l’expiration du délai légal, peu importe le moment où le preneur d’assurance la reçoit. Cette thèse repose sur le texte de la disposition (« le droit de résiliation s’éteint ») mais également sur son but. Au vu de la brièveté du délai et de la sévérité des exigences formelles relatives à la résiliation, le législateur n’a pas eu l’intention d’imposer une contrainte supplémentaire à l’assurance. Cette interprétation trouve également une justification dans la systématique de l’art. 6 LCA, dans la mesure où le moment où la résiliation parvient au preneur d’assurance et ses effets sont réglés par l’art. 6 al. 1 LCA, alors que l’alinéa 2 de cette même disposition est consacré au délai de résiliation (POUGET-HÄNSELER, op. cit., p. 28). La doctrine majoritaire considère toutefois que la déclaration de résiliation doit être parvenue au preneur d’assurance avant l’expiration du délai de l’art. 6 al. 2 LCA (NEF/VON ZEDTWITZ, op. cit., ad n. 16 ad art. 6 LCA ; GAUCH, op. cit., 2006, p. 367 ; Stephan FUHRER, Réticence, in ASA/svv Infoméd 2008/1 Devoirs d’information dans l’assurance vie individuelle, p. 20). Cette opinion peut trouver son fondement à l’art. 100 LCA qui, pour ce que cette loi ne règle pas, renvoie au droit des obligations, en vertu duquel les manifestations de volonté sont en principe soumises à réception (arrêt du Tribunal fédéral 5C.263/2000 du 6 mars 2001 consid. 4a ; Vincent BRULHART, Droit des assurances privées, 2008, p. 29 ; cf.</w:t>
      </w:r>
    </w:p>
    <w:p>
      <w:r>
        <w:t>A/203/2015 - 17/23 - art. 3 al. 2, 5 et 9 al. 1 CO ; Pierre TERCIER/Pascal PICHONNAZ, Le droit des obligations, 5ème éd., 2012, p. 48 ; Ariane MORIN, Commentaire romand, Code des obligations I, 2012, n. 13 ad art. 1 CO).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(ATF 107 II 189 consid. 2 et les références citées ; MORIN, op. cit., n. 17 ad art. 1 CO). Il s’agit donc soit du jour même où l’avis de retrait est déposé dans la boîte aux lettres si l’on peut attendre du destinataire qu’il le retire aussitôt, sinon en règle générale, le lendemain de ce jour, en particulier dans le cas d’un destinataire qui exerce une activité professionnelle durant la journée (ATF 137 III 208 consid. 3.1.2 ; Ernst A. KRAMER, Berner Kommentar, Art. 1-18 OR. Allgemeine Bestimmungen: Die Entstehung durch Vertrag, 1986, n. 88 ad art. 1 CO). Il y a lieu de préciser qu’une communication écrite reçue par un tiers est immédiatement opposable à son destinataire, notamment si les circonstances permettent raisonnablement de retenir que le tiers était autorisé et qualifié à recevoir la communication pour son compte, par exemple parce qu’il s’agissait d’un de ses employés travaillant à son adresse professionnelle (MORIN, op. cit., n. 19 ad art. 1 CO). La question n’a jamais été expressément tranchée par le Tribunal fédéral qui fait uniquement référence, dans plusieurs arrêts, à la date des déclarations de résiliation (cf. ATF 129 III 713 consid. 2.1: « Rücktrittserklärung vom 6. September 1994 » ; ATF 131 III 542: « la déclaration de résolution du 11 novembre 1998 »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 Spätestens in diesem Zeitpunkt hätte die Kündigung dem Beschwerdegegner zugehen müssen »). La chambre de céans se rallie à l’opinion majoritaire et considère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Dans le cas d‘espèce, l’avis de retrait du recommandé a, certes, été déposé le dernier jour du délai légal, soit le 5 septembre 2014, dans la boîte aux lettres du</w:t>
      </w:r>
    </w:p>
    <w:p>
      <w:r>
        <w:t>A/203/2015 - 18/23 - preneur d’assurance et du demandeur, mais le courrier a été retiré par l’épouse du demandeur le lendemain. On peut en l’occurrence légitimement considérer que ledit courrier est parvenu à son destinataire le samedi 6 septembre 2014. En effet, compte tenu du fait que, d’une part, la même adresse sert à la fois de siège au preneur d’assurance et de domicile au demandeur et que, d’autre part, la capacité de travail de ce dernier sur les chantiers était de 30% le 5 septembre 2014, il est vraisemblable que personne n’ait été présent au domicile du demandeur, respectivement au siège de la demanderesse, pour réceptionner le recommandé en question et aller le retirer au guichet postal le même jour. La résiliation étant parvenue au demandeur le 6 septembre 2014, soit le lendemain du jour où l’avis de retrait a été déposé dans sa boîte aux lettres, il y a lieu de conclure que la défenderesse n’a pas observé le délai péremptoire de résiliation prévu par l’art. 6 al. 2 LCA, ce qui a pour conséquence le maintien du contrat d’assurance avec le même contenu. Le moyen tiré de la tardiveté de la résiliation du contrat est bien fondé.</w:t>
      </w:r>
    </w:p>
    <w:p>
      <w:r>
        <w:rPr>
          <w:b/>
        </w:rPr>
        <w:t>E. 9</w:t>
      </w:r>
    </w:p>
    <w:p>
      <w:r>
        <w:t>Le demandeur conclut à ce qu’il soit constaté que le contrat d’assurance est toujours en vigueur entre les parties. La défenderesse conteste à cet égard la légitimation active du demandeur, ce dernier étant uniquement titulaire du droit aux prestations et pas partie au contrat. N’étant pas le preneur d’assurance, il ne serait pas habilité à prendre des conclusions en relation avec le maintien ou l’annulation du contrat. De plus, la compétence de la chambre de céans n’est pas donnée pour statuer sur l’existence ou la validité du contrat lui-même, question qui relève de la compétence des tribunaux civils ordinaires. La légitimation active ou passive dans un procès civil relève du fondement matériel de l'action (ATF 128 III 50 consid. 2b/bb). Il est exact que le droit d’action directe de l’art. 87 LCA n'a pas pour effet de faire du tiers, matériellement, une partie au contrat, de sorte que ce dernier n'a pas la possibilité d'influencer sur le sort du contrat en tant que tel, par exemple en invoquant un vice du consentement au sens des art. 21ss CO ou en modifiant les termes de l'accord (ATF 141 III 112 consid. 4.3 ; arrêt du Tribunal fédéral 4A_53/2007 du 26 septembre 2007 consid. 4.4.1 ; arrêt du Tribunal fédéral 5C.41/2001 du 3 juillet 2001 consid. 2c ; Christoph FREY/Nathalie LANG, Basler Kommentar, Versicherungsvertragsgesetz, Nachführungsband, 2012, n. 6 ad art. 87 LCA ; Anne-Sylvie DUPONT, Le nouvel article 8 LCD et les conditions générales d'assurance, in Le nouveau droit des conditions générales et pratiques commerciales déloyales, 2012, p. 138). En effet, la décision de conclure le contrat d'assurance et les droits qui en découlent – droit de le modifier, de le prolonger, de le résilier - appartiennent au seul preneur d'assurance qui assume également toutes les obligations que ledit contrat met à la charge de tout preneur, telles que s'acquitter des primes d'assurance envers l'assureur (Alfred MAURER,</w:t>
      </w:r>
    </w:p>
    <w:p>
      <w:r>
        <w:t>A/203/2015 - 19/23 - Privatversicherungsrecht, 3ème éd., 1995, p. 314 ; Bernard Viret, Droit des assurances privées, 1991, p. 165). Il convient toutefois de déterminer si le demandeur dispose d’un intérêt à faire constater que le contrat d’assurance, qu’il allègue, à raison (cf. consid. n. 8 b) supra), n’avoir pas été valablement résilié par la défenderesse, continue à déployer ses effets. De l’avis de la doctrine majoritaire et du Tribunal fédéral, une action en constatation de droit au sens de l’art. 88 CPC peut porter sur les droits et relations juridiques de tiers. Une telle action est admissible lorsqu’une seule ou aucune des parties au litige n’est concernée, à condition que le demandeur ait un intérêt digne de protection à l’encontre du défendeur (ATF 137 III 293 consid. 4.2 ; ATF 109 II 51 consid. 2 ; Balthasar BESSENICH/Lukas BOPP, Kommentar zur Schweizerischen Zivilprozessordnung (ZPO), 2ème éd., 2013, n. 6 ad art. 88 CPC ; BOHNET, op. cit., n. 18 ad art. 88 CPC). Comme le retient la jurisprudence, un tel intérêt demeure exceptionnel dès lors que le jugement de constatation ne lie pas le tiers. On l’admet lorsque les relations juridiques entre les parties dépendent d’un rapport juridique entre le défendeur et un tiers (ATF 137 III 293 consid. 4.2 ; ATF 108 II 475 consid. 1a ; ATF 93 II 11 consid. 2c) ; arrêt du Tribunal fédéral 4C.147/2004 consid. 2 ; BOHNET, ibidem ; Alexander R. MARKUS, Berner Kommentar, Schweizerische Zivilprozessordnung, Band I : art. 1-149 ZPO, n. 31 ad art. 88 CPC). S’agissant d’une assurance collective d’indemnités journalières en cas de maladie, dès lors que le tiers bénéficiaire se voit conférer, en vertu de l’art. 87 LCA, un droit propre à agir en exécution du contrat pour obtenir les prestations d’assurance convenues, les conditions d’une action tendant à faire constater l’étendue de la couverture d’assurance, telle que prévue par l’art. 88 CPC, pourraient être réunies (DUPONT, op. cit., p. 139). Si une partie ne fait valoir aucun intérêt à la constatation d’un droit ou d’un fait, le tribunal rejettera son action sans examiner le fond du litige et le jugement rendu n’aura pas autorité de chose jugée (ATF 135 III 384 consid. 2.5 ; ATF 123 III 51 consid. 1a ; arrêt du Tribunal fédéral 4C. 147/2004 du 17 août 2004 consid. 2 ; BESSENICH/BOPP, op. cit., n. 8 ad art. 88 CPC). En l’espèce et au vu de ce qui précède, étant donné que le demandeur, en sa qualité de titulaire du droit aux prestations, serait légitimé à agir en constatation de l’étendue de sa couverture d’assurance, il dispose a fortiori d’un intérêt digne de protection à faire constater que le contrat d’assurance collective d’indemnités journalières n’a pas été valablement résilié par la défenderesse, ce qui a pour conséquence le maintien du contrat avec le même contenu et, partant, de sa couverture d’assurance.</w:t>
      </w:r>
    </w:p>
    <w:p>
      <w:r>
        <w:rPr>
          <w:b/>
        </w:rPr>
        <w:t>E. 10</w:t>
      </w:r>
    </w:p>
    <w:p>
      <w:r>
        <w:t>La conclusion subsidiaire du demandeur tendant au renvoi de la cause à la défenderesse pour nouvelle décision dans le sens des considérants doit également être rejetée, dans la mesure où la prise de décision constitue le propre de l’activité de droit public de l’administration (Thierry TANQUEREL, Manuel de droit</w:t>
      </w:r>
    </w:p>
    <w:p>
      <w:r>
        <w:t>A/203/2015 - 20/23 - administratif, 2011, p. 270). Or, le présent litige est exclusivement soumis au droit privé (i.e. LCA et CPC).</w:t>
      </w:r>
    </w:p>
    <w:p>
      <w:r>
        <w:rPr>
          <w:b/>
        </w:rPr>
        <w:t>E. 11</w:t>
      </w:r>
    </w:p>
    <w:p>
      <w:r>
        <w:t>Au regard des principes exposés plus haut, la demande est partiellement admise.</w:t>
      </w:r>
    </w:p>
    <w:p>
      <w:r>
        <w:rPr>
          <w:b/>
        </w:rPr>
        <w:t>E. 12</w:t>
      </w:r>
    </w:p>
    <w:p>
      <w:r>
        <w:t>Aux termes de l'art. 106 CPC, les frais sont mis à la charge de la partie succombante, soit notamment, le demandeur lorsque le tribunal n'entre pas en matière (al. 1). Lorsqu'aucune des parties n'obtient entièrement gain de cause, les frais sont répartis selon le sort de la cause (al. 2). Il n'est toutefois pas alloué de dépens à la charge de l'assuré, dans les causes portant sur les assurances complémentaires à l'assurance-maladie obligatoire prévue par la LAMal (cf. art. 22 de la loi d'application du code civil suisse et d’autres lois fédérales en matière civile du 11 octobre 2012 - LaCC - E 1 05).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du demandeur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w:t>
      </w:r>
    </w:p>
    <w:p>
      <w:r>
        <w:t>A/203/2015 - 21/23 - En l'espèce, la conclusion du demandeur visant au paiement des indemnités journalières a été déclarée irrecevable, faute par lui d’avoir chiffré ses prétentions (cf. consid. 3 b) supra). Les dépens dus à titre de défraiement de l'avocat constitué pour le demandeur seront par conséquent arrêtés en tenant compte des critères fixés à l'art. 84 RTFMC, à savoir l'importance de la cause, sa difficulté, l'ampleur du travail et le temps employé (art. 85 al. 2 RTFMC). La présente cause a donné lieu à deux échanges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le demandeur, représenté par un conseil, a obtenu partiellement gain de cause, dans la mesure de la recevabilité de ses conclusions, la défenderesse est condamnée à lui verser une indemnité de CHF 2'400.- à titre de dépens, TVA et débours inclus (art. 95 al. 3 et 106 al. 1 et 2 CPC ; art. 25 et 26 LaCC). Pour le surplus, la procédure est gratuite (art. 114 let. e CPC et 22 al. 3 let. b LaCC).</w:t>
      </w:r>
    </w:p>
    <w:p>
      <w:r>
        <w:t>A/203/2015 - 22/23 -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