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20140915_i_ti_o_01 vom 15. September 2014</w:t>
      </w:r>
    </w:p>
    <w:p>
      <w:r>
        <w:t>FINMA Versicherungsrecht, 2014-09-15, IT</w:t>
      </w:r>
    </w:p>
    <w:p>
      <w:r>
        <w:rPr>
          <w:b/>
        </w:rPr>
        <w:t xml:space="preserve">Quelle: </w:t>
      </w:r>
      <w:r>
        <w:t>https://mcp.opencaselaw.ch/entscheid/finma_versicherungsrecht_20140915_i_ti_o_01</w:t>
      </w:r>
    </w:p>
    <w:p>
      <w:r>
        <w:t>FR: FINMA_VERSICHERUNGSRECHT 20140915_i_ti_o_01 du 15 septembre 2014</w:t>
      </w:r>
    </w:p>
    <w:p>
      <w:r>
        <w:t>IT: FINMA_VERSICHERUNGSRECHT 20140915_i_ti_o_01 del 15 settembre 2014</w:t>
      </w:r>
    </w:p>
    <w:p>
      <w:pPr>
        <w:pStyle w:val="Heading2"/>
      </w:pPr>
      <w:r>
        <w:t>Erwägungen</w:t>
      </w:r>
    </w:p>
    <w:p>
      <w:r>
        <w:rPr>
          <w:b/>
        </w:rPr>
        <w:t>E. 25</w:t>
      </w:r>
    </w:p>
    <w:p>
      <w:r>
        <w:t>marzo 2013, il TF al consid. 4 ha evidenziato di avere:</w:t>
      </w:r>
    </w:p>
    <w:p>
      <w:r>
        <w:t>" … già avuto modo di stabilire in SVR 1998 KV n. 4 pag. 9 consid. 2b - sotto l'egida della LAMaI, ma enunciando principi che rimangono validi anche sotto la LAMal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 … La situazione si presenta invece diversamente se il datore di lavoro pronuncia il licenziamento prima che il lavoratore diventa (recte: diventi)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w:t>
      </w:r>
    </w:p>
    <w:p>
      <w:r>
        <w:t>lavoro avrebbe trovato con ogni verosimiglianza un posto nuovo, concretamente definito (cfr. sentenza citata 9C_311/2010 consid. 1.2 in fine, 9C_332/2007 del 29 maggio 2008 consid. 2.2 in fine e RJAM 1983 n. K 526 pag. 81). … 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rigerimenti alla giurisprudenza in materia). In quest'ultimo caso la perdita di guadagno consisterebbe nella perdita di salario."</w:t>
      </w:r>
    </w:p>
    <w:p>
      <w:r>
        <w:t>In concreto dalla perizia pluridisciplinare del SAM emerge che l’attore ha svolto un’attività lavorativa quale cameriere fino a fine gennaio 2010, quando è stato licenziato per ristrutturazione della ditta e si è iscritto in disoccupazione (pag. 11 della perizia, doc. XXIII). Dal 15 marzo 2010 ha lavorato come cameriere al 50% presso un grotto, percependo indennità di disoccupazione per il restante 50%. L’interessato ha interrotto l’attività lucrativa a fine giugno 2010 e da agosto ad ottobre 2010 ha seguito un programma occupazionale presso una segheria, quando il medico curante ha attestato un’incapacità lavorativa totale del 100% dal 15 ottobre 2010 (pag. 11 della perizia, doc. XXIII).</w:t>
      </w:r>
    </w:p>
    <w:p>
      <w:r>
        <w:t>Va a questo proposito rilevato che il dr. med. __________, interpellato da questo Tribunale per sapere da quando l’attore può essere considerato incapace al lavoro al 100% nella sua attività di cameriere, ha specificato che l’incapacità lavorativa causata dalla disfunzione otolica bilaterale può essere fatta risalire al più presto nel 2010, quando è stato licenziato per non essere più in grado di svolgere in modo corretto il servizio pressi i clienti (doc. XXXII: “[…] basandomi sull’esame otoneurologico del 08.11.2011, __________, Prof. Dr. med. __________, otoneurologia, si può partire dalla data della diagnosi (novembre 2011) o dal 2010 al 100%, quando è stato licenziato per non essere più in grado di svolgere in modo corretto il servizio pressoi clienti”).</w:t>
      </w:r>
    </w:p>
    <w:p>
      <w:r>
        <w:t>Considerato che il medico curante, dr. med. __________, che ha avuto in cura l’attore (anche) nel 2010, e che ha pertanto potuto valutare direttamente lo stato di salute dell’interessato, ha accertato che l’incapacità lavorativa totale nell’attività di cameriere per le vertigini non posizionali ha avuto inizio il 15 ottobre 2010 (doc. 1/1; 1/6; certificato del 24 dicembre 2010, allegato al doc. 2), che l’attore con la petizione chiede il versamento delle prestazioni dalla medesima data e che con decisione del 26 gennaio 2011, cresciuta in giudicato, l’UAI ha stabilito che l’attore ha subito un’incapacità lavorativa del 50% come cameriere dal marzo 2010 al 31 luglio 2010, mentre dal mese di agosto 2010 è stato ritenuto completamente abile al lavoro nello svolgimento delle abituali mansioni, rispettando i suoi limiti funzionali, questo TCA deve concludere, applicando il noto</w:t>
      </w:r>
    </w:p>
    <w:p>
      <w:r>
        <w:t>principio della verosimiglianza preponderante, che l’incapacità lavorativa al 100% nell’attività da ultimo svolta dall’attore ha avuto inizio il 15 ottobre 2010.</w:t>
      </w:r>
    </w:p>
    <w:p>
      <w:r>
        <w:t>Ritenuto che dalla “dichiarazione riguardo alla fine del diritto all’indennità di disoccupazione” della Cassa Disoccupazione __________ (doc. XLIII), emerge che il termine quadro per la riscossione delle prestazioni è decorso dal 2 novembre 2009 al 1° novembre 2011 e che l’ultimo giorno indennizzato (per un ammontare di fr. 156.70) è stato il venerdì 12 novembre 2010 (doc. XLIII/1), ossia 29 giorni dopo l’inizio dell’incapacità lavorativa e che pertanto l’attore è diventato incapace al lavoro mentre si trovava in disoccupazione, la perdita di guadagno indennizzabile corrisponde alla perdita dell’indennità di disoccupazione, riservato il caso in cui l’interessato sia in grado di dimostrare che senza l’inabilità al lavoro avrebbe trovato con ogni verosimiglianza un posto nuovo, concretamente definito (sentenza del 25 marzo 2013, 9C_24/2013, consid. 4.)</w:t>
      </w:r>
    </w:p>
    <w:p>
      <w:r>
        <w:t>Interpellato in merito a questa ipotesi in sede di udienza il 3 settembre 2014, l’attore ha affermato che “al momento in cui è subentrata la sua malattia egli percepiva un’indennità di disoccupazione ma non aveva nelle viste una possibilità concreta di lavoro” ed ha precisato che “le sue condizioni di salute non gli permettevano neppure di cercare una simile occupazione” (doc. XLIV).</w:t>
      </w:r>
    </w:p>
    <w:p>
      <w:r>
        <w:t>In queste condizioni l’interessato ha diritto alle indennità giornaliere per la perdita di guadagno in caso di malattia di fr. 111.-- (cfr. art. __________ CGA) dal 14 novembre 2010 (dopo 30 giorni di carenza iniziata il 15 ottobre 2010; cfr. doc. A) fino al 1° novembre 2011.</w:t>
      </w:r>
    </w:p>
    <w:p>
      <w:r>
        <w:t>2.10.   L’assicurato chiede di poter essere messo al beneficio dell’assistenza giudiziaria con gratuito patrocinio.</w:t>
      </w:r>
    </w:p>
    <w:p>
      <w:r>
        <w:t>Ritenuti l’esito della lite e il diritto a ripetibili parziali, tale richiesta, per quanto attiene alla parte per la quale l’attore è vincente in causa, è divenuta priva di oggetto (cfr. DTF 124 V 310 consid. 6; sentenza 164/02 del 9 aprile 2003). Per la parte della petizione in cui l’attore è soccombente, l’interessato può invece essere posto al beneficio dell’assistenza giudiziaria, sempre che adempia le relative condizioni (DTF 124 V 301 consid. 6).</w:t>
      </w:r>
    </w:p>
    <w:p>
      <w:r>
        <w:t>L'art.</w:t>
      </w:r>
    </w:p>
    <w:p>
      <w:r>
        <w:rPr>
          <w:b/>
        </w:rPr>
        <w:t>E. 28</w:t>
      </w:r>
    </w:p>
    <w:p>
      <w:r>
        <w:t>cpv. 2 Lptca stabilisce che la disciplina della difesa d'ufficio e del gratuito patrocinio è retta della Legge sull’assistenza giudiziaria e sul patrocinio d’ufficio [LAG], nel tenore in vigore dal 1° gennaio 2011.</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w:t>
      </w:r>
    </w:p>
    <w:p>
      <w:r>
        <w:t>Nel caso concreto, dal certificato per l’ammissione all’assistenza giudiziaria risulta che l’attore, coniugato e con due figli piccoli, nati nel 2006 e nel 2008, è a carico dell’assistenza pubblica (doc. Q).</w:t>
      </w:r>
    </w:p>
    <w:p>
      <w:r>
        <w:t>In queste circostanze il requisito dell’indigenza è dato.</w:t>
      </w:r>
    </w:p>
    <w:p>
      <w:r>
        <w:t>L’assicurato non possiede inoltre le necessarie conoscenze giuridiche, per cui l’intervento di un legale appare giustificato. Infine, di primo acchito, la petizione non pareva essere priva di fondamento. Essendo nella fattispecie soddisfatti i requisiti cumulativi per la concessione dell'assistenza giudiziaria a favore dell'assicurato, il gratuito patrocinio va concesso, riservato l'eventuale obbligo di rimborso, qualora la situazione economica dell'assicurato dovesse in futuro migliorare (cfr. art. 61 lett. f LPGA; sentenza del 15 luglio 2003, I 569/02, consid. 5; sentenza del 23 maggio 2002, U 234/00, consid. 5a, parzialmente pubblicata in DTF 128 V 174; DTF 124 V 301, consid. 6).</w:t>
      </w:r>
    </w:p>
    <w:p>
      <w:r>
        <w:t>2.11.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