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20140109_d_zh_o_01 vom 9. Januar 2014</w:t>
      </w:r>
    </w:p>
    <w:p>
      <w:r>
        <w:t>FINMA Versicherungsrecht, 2014-01-09, DE</w:t>
      </w:r>
    </w:p>
    <w:p>
      <w:r>
        <w:rPr>
          <w:b/>
        </w:rPr>
        <w:t xml:space="preserve">Quelle: </w:t>
      </w:r>
      <w:r>
        <w:t>https://mcp.opencaselaw.ch/entscheid/finma_versicherungsrecht_20140109_d_zh_o_01</w:t>
      </w:r>
    </w:p>
    <w:p>
      <w:r>
        <w:t>FR: FINMA_VERSICHERUNGSRECHT 20140109_d_zh_o_01 du 9 janvier 2014</w:t>
      </w:r>
    </w:p>
    <w:p>
      <w:r>
        <w:t>IT: FINMA_VERSICHERUNGSRECHT 20140109_d_zh_o_01 del 9 gennaio 2014</w:t>
      </w:r>
    </w:p>
    <w:p>
      <w:pPr>
        <w:pStyle w:val="Heading2"/>
      </w:pPr>
      <w:r>
        <w:t>Erwägungen</w:t>
      </w:r>
    </w:p>
    <w:p>
      <w:r>
        <w:rPr>
          <w:b/>
        </w:rPr>
        <w:t>E. 5</w:t>
      </w:r>
    </w:p>
    <w:p>
      <w:r>
        <w:t>5.1Die Klägerin verlangt die Verzinsung des eingeklagten Betrages von Fr. 115‘320.-- zu 5 % und zwar ab 11. April 2011 auf den Betrag von Fr. 65‘855.--, ab 30. Mai 2011 auf den Betrag von Fr. 28‘830.-- und ab 4. Juli 2011 auf den Betrag von Fr. 20‘635.-- (Urk. 1 S. 2). 5.2Nach Art. 41 Abs. 1 VVG wird die Forderung aus dem Versicherungsvertrag mit dem Ablauf der Deliberationsfrist von vier Wochen von dem Zeitpunkt an gerechnet fällig, in dem der Versicherer Angaben erhalten hat, aus denen er sich von der Richtigkeit des Anspruchs überzeugen kann. Nach der herrschenden Lehre wird mit dieser Regelung allein kein Verfalltag statuiert, der eine Mahnung entbehrlich macht, da es eine Auslegungsfrage ist, wann der Versicherer alle notwendigen Auskünfte und Belege erhalten hat, wogegen Verfalltagsgeschäfte eines genauen Erfüllungsdatums bedürfen. Gemäss herrschender Lehre gerät der Versicherer erst mit einer Mahnung in Verzug, ausser er lehnt seine Leistungspflicht definitiv ab. Dann treten Fälligkeit und Verzug sofort ein und die Deliberationsfrist wird überflüssig (Jürg Nef, in: Basler Kommentar zum Bundesgesetz über den Versicherungsvertrag, Basel 2001, Art. 41 Rn 20). Die AVB (Urk. 2/3) und BVB (Urk. 2/4) enthalten keine Verzugszinsregelung. Es ist somit auch vertraglich kein Verfalltag vereinbart. Die Beklagte musste demnach entweder zur Zahlung gemahnt werden, damit sie in Verzug geriet und ein Verzugszins geschuldet war, oder die Leistungspflicht definitiv ablehnen. 5.3Unter Mahnung versteht man jene an den Schuldner gerichtete Erklärung des Gläubigers, durch die er in unmissverständlicher Weise die unverzügliche Erbringung der fälligen Leistung beansprucht. Sie muss dem Schuldner inhaltlich nicht nur klar zum Ausdruck bringen, dass der Gläubiger die versprochene Leistung endgültig verlangt, sondern auch deren Quantität, Qualität und Erfüllungsort richtig bezeichnen (Wolfgang Wiegand, in: Basler Kommentar zum Obligationenrecht I, Art. 1-529 OR, 5. Auflage 2011, Art. 102 Rn 5). Die Klägerin forderte die Beklagte zwar mehrfach auf, Kostengutsprache für die vertraglichen Leistungen zu erteilen (Urk. 2/16, Urk. 2/18). Eine eigentliche Mahnung erfolgte lediglich für die angefallenen Kosten zwischen dem 1. und 28. Februar 2011 (vgl. Urk. 2/23), nicht jedoch für die ausstehenden Kosten ab 4. März 2011. 5.4Die Beklagte lehnte ihre Leistungspflicht ab dem 4. März 2011 erstmals mit Schreiben vom 3. März 2011 ab (Urk. 7/8). Es folgte ein Schriftenwechsel zwischen der Y.___, der Beklagten, welche jeweils ihren Vertrauensarzt zu Rate zog, und im weiteren Verlauf auch mit dem Rechtsvertreter der Klägerin (Urk. 7/9-28). Am 22. Juli 2011 (Urk. 7/29) erfolgte nach erneuter Überprüfung durch den Vertrauensarzt erstmals eine Stellungnahme des Rechtsdienstes der Beklagten, worin der Klägerin dargelegt wurde, dass die Beklagte an ihrem Standpunkt (Leistungsablehnung) festhalte. In der Folge holten sowohl die Klägerin (Urk. 7/31) als auch die Beklagte (Urk. 7/32-34) weitere ärztliche Stellungnahmen ein und strebten schliesslich die Einholung eines Gutachtens an zur Klärung der Frage, ob es sich beim Aufenthalt in der Y.___ um eine Akutbehandlung oder einen Aufenthalt zur Rehabilitation handelte (Urk. 7/35-40). Mit Email vom 24. Februar 2012 erachtete die</w:t>
      </w:r>
    </w:p>
    <w:p>
      <w:r>
        <w:t>Klägerin die Durchführung eines Gutachtens schliesslich doch nicht für notwendig. Am 29. Februar 2012 verwies sie die Beklagte zur Geltendmachung ihres Leistungsanspruchs auf den Rechtsweg (Urk. 7/41). Demnach lehnte die Beklagte ihre Leistungspflicht am 29. Februar 2012 zu Unrecht definitiv ab und ist somit ab diesem Tag verzugszinspflichtig. 5.5Zusammengefasst hat die Klägerin in teilweiser Gutheissung der Klage Anspruch auf Übernahme der Spitalkosten in der Höhe von insgesamt Fr. 115‘320.-- (vgl. Urk. 2/32-38). Zudem hat die Beklagte ab dem 29. Februar 2012 Verzugszins von 5 % auf den Betrag von Fr. 115‘320.-- zu bezahlen.</w:t>
      </w:r>
    </w:p>
    <w:p>
      <w:r>
        <w:rPr>
          <w:b/>
        </w:rPr>
        <w:t>E. 6</w:t>
      </w:r>
    </w:p>
    <w:p>
      <w:r>
        <w:t>6.1Gemäss Art. 114 lit. e der Schweizerischen Zivilprozessordnung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2.1 nicht publiziert in: BGE 137 III 47). Diese umfasst den Ersatz der notwendigen Auslagen, die Kosten einer berufsmässigen Vertretung sowie in begründeten Fällen eine angemessene Umtriebsentschädigung, wenn eine Partei nicht berufsmässig vertreten ist (Art. 95 Abs. 3 ZPO). 6.2Die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Teil des GOG). Dasselbe gilt für die Verordnung über die Anwalts-gebühren (LS 215.3). Diese regelt ausdrücklich nur die Parteientschädigungen vor den Schlichtungsbehörden, den Zivilgerichten und den Strafbehörden. Die Bemessung der Parteientschädigung richtet sich somit nach § 34 des Gesetzes über das Sozialversicherungsgericht (GSVGer) sowie den §§ 1, 5 und 7 der Verordnung über die Gebühren, Kosten und Entschädigungen vor dem Sozial-versicherungsgericht (GebV SVGer). Gemäss § 34 Abs. 1 GSVGer ist die Höhe der gerichtlich festzusetzenden Entschädigung nach der Bedeutung der Streitsache, der Schwierigkeit des Prozesses und dem Mass des Obsiegens, jedoch ohne Rücksicht auf den Streitwert festzusetzen. Die der anwaltlich vertretenen Klägerin zustehende Parteientschädigung ist in Anwendung der genannten Kriterien auf Fr. 2‘900.-- (inkl. MWSt und Barauslagen) festzusetzen. Das Gericht erkennt: 1.In teilweiser Gutheissung der Klage wird die Beklagte verpflichtet, der Klägerin den Betrag von Fr. 115‘320.-- nebst Verzugszinsen zu 5 % auf diesen Betrag ab dem 29. Februar 2012 zu bezahlen. 2.Das Verfahren ist kostenlos. 3.Die Beklagte wird verpflichtet, der Klägerin eine Prozessentschädigung von Fr. 2'900.-- (inkl. Barauslagen und MWSt) zu bezahlen. 4.Zustellung gegen Empfangsschein an: Rechtsanwalt Dr. iur. André Largier Assura Eidgenössische Finanzmarktaufsicht FINMA 5.Gegen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