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20131016_d_sg_o_01 vom 16. Oktober 2013</w:t>
      </w:r>
    </w:p>
    <w:p>
      <w:r>
        <w:t>FINMA Versicherungsrecht, 2013-10-16, DE</w:t>
      </w:r>
    </w:p>
    <w:p>
      <w:r>
        <w:rPr>
          <w:b/>
        </w:rPr>
        <w:t xml:space="preserve">Quelle: </w:t>
      </w:r>
      <w:r>
        <w:t>https://mcp.opencaselaw.ch/entscheid/finma_versicherungsrecht_20131016_d_sg_o_01</w:t>
      </w:r>
    </w:p>
    <w:p>
      <w:r>
        <w:t>FR: FINMA_VERSICHERUNGSRECHT 20131016_d_sg_o_01 du 16 octobre 2013</w:t>
      </w:r>
    </w:p>
    <w:p>
      <w:r>
        <w:t>IT: FINMA_VERSICHERUNGSRECHT 20131016_d_sg_o_01 del 16 ottobre 2013</w:t>
      </w:r>
    </w:p>
    <w:p>
      <w:pPr>
        <w:pStyle w:val="Heading2"/>
      </w:pPr>
      <w:r>
        <w:t>Erwägungen</w:t>
      </w:r>
    </w:p>
    <w:p>
      <w:r>
        <w:rPr>
          <w:b/>
        </w:rPr>
        <w:t>E. 1</w:t>
      </w:r>
    </w:p>
    <w:p>
      <w:r>
        <w:t>Umstritten und als Prozessvoraussetzung (Art. 59 Abs. 2 lit. b der Schweizeri- schen Zivilprozessverordnung [ZPO; SR 272]) von Amtes wegen zu prüfen ist die sachliche Zuständigkeit des Versicherungsgerichts.</w:t>
      </w:r>
    </w:p>
    <w:p>
      <w:r>
        <w:rPr>
          <w:b/>
        </w:rPr>
        <w:t>E. 2</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Art. 7 ZPO setzt nicht voraus, dass eine Krankenkasse Trä- gerin der Versicherung ist (Urteil des Bundesgerichts vom 12. März 2012, 4A_47/2012, E. 2 mit Hinweisen). Für den Rechtsmittelweg ist damit unerheblich, ob eine Krankenkasse oder ein Privatversicherer Träger der Versicherung ist (vgl. Urteil des Bundesgerichts vom 30. Januar 2012, 4A_416/2011, E. 1, wo die Zusatzversicherung eines privaten Trägers [AXA Versicherungen AG; vgl. hierzu Urteil des Sozialversicherungsgerichts des Kantons Zürich vom 27. Mai 2011, KK.2009.00027] unter den Begriff "Zusatzversicherung zur sozialen Krankenver- sicherung" im Sinn von Art. 12 Abs. 2 und 3 KVG subsumiert wurde; vgl. auch Urteil des Versicherungsgerichts des Kantons St. Gallen vom 24. Februar 2012, KV-Z 2011/2, wo ebenfalls eine Zusatzversicherung eines privaten Trägers zu beurteilen war).</w:t>
      </w:r>
    </w:p>
    <w:p>
      <w:r>
        <w:rPr>
          <w:b/>
        </w:rPr>
        <w:t>E. 2.1</w:t>
      </w:r>
    </w:p>
    <w:p>
      <w:r>
        <w:t>Die soziale Krankenversicherung umfasst die obligatorische Krankenpfle- geversicherung und eine freiwillige Taggeldversicherung (Art. 1a Abs. 1 KVG). Streitigkeiten aus Zusatzversicherungen zur sozialen Krankenversicherung nach dem KVG sind privatrechtliche Streitigkeiten (BGE 127 III 421 [= Urteil des Bun- desgerichts vom 14. Juni 2001, 5C.52/2001] nicht publizierte E. 1b; vgl. Art. 12 Abs. 3 KVG).</w:t>
      </w:r>
    </w:p>
    <w:p>
      <w:r>
        <w:rPr>
          <w:b/>
        </w:rPr>
        <w:t>E. 2.2</w:t>
      </w:r>
    </w:p>
    <w:p>
      <w:r>
        <w:t>Privatversicherer betreiben oft mehrere Versicherungszweige in den ver- schiedensten Ausprägungen und bauen nicht selten Elemente der Zusatzversi-</w:t>
      </w:r>
    </w:p>
    <w:p>
      <w:r>
        <w:t>cherungen zur sozialen Krankenversicherung in die angebotenen Zusatzversi- cherungen ein. Es handelt sich diesfalls um kombinierte Versicherungen. Mass- gebend ist der Zweck. Wenn solche Elemente noch in einem, wenn auch schwa- chen Zusammenhang mit der sozialen Krankenversicherung stehen, können sie als Zusatzversicherung zur sozialen Krankenversicherung gelten. Falls kombi- nierte Versicherungen vorliegen, von denen einzelne Elemente überhaupt keinen Zusammenhang mit der Krankenversicherung aufweisen, wird man sie nur dann als Zusatzversicherung zur sozialen Krankenversicherung anerkennen, sofern die die soziale Krankenversicherung ergänzenden Elemente deutlich überwie- gen, mithin gleichsam das Schwergewicht des Versicherungsvertrags bilden (vgl. Gustavo Scartazzini/Marc Hürzeler, Bundessozialversicherungsrecht, 4. Auflage, Basel 2012, §16 Rz 219; Sara Lehner, Zum Begriff der "Zusatzversicherungen zur sozialen Krankenversicherung" im Sinne der Schweizerischen ZPO, in: BJM 2010, S. 169 ff., S.189; Sebastian Lorentz, Hamlets Geist oder der Geist des Ge- setzes? Anwendungsbereich von Art. 7 ZPO und Zusatzversicherungen, in: AJP 7/2012, S. 986 mit Hinweisen).</w:t>
      </w:r>
    </w:p>
    <w:p>
      <w:r>
        <w:rPr>
          <w:b/>
        </w:rPr>
        <w:t>E. 2.3</w:t>
      </w:r>
    </w:p>
    <w:p>
      <w:r>
        <w:t>Die Versicherer sollten gemäss Lehre Zusatzversicherungen zur sozialen Krankenversicherung als solche bezeichnen und dadurch deren Zweck zum Aus- druck bringen. Wenn sie dies unterlassen, muss geprüft werden, ob die betref- fende Versicherung wirklich die soziale Krankenversicherung ergänzen soll und deshalb als Zusatzversicherung zu gelten hat. Umgekehrt ist dieser Schluss trotz ihrer Bezeichnung als Zusatzversicherung zur sozialen Krankenversicherung nicht zwingend, wenn der Inhalt des Vertrags in deutlich überwiegender Weise einen anderen Vertragstypus, z.B. eine gemischte Lebensversicherung, darstellt. Es liegt nahe, eine Versicherung entweder ganz oder überhaupt nicht als Zusatz- versicherung zur sozialen Krankenversicherung zu beurteilen. Für den gleichen Vertrag sollten nämlich im Interesse der versicherten Personen nicht zwei ge- trennte Rechtswege gelten, d.h. im Streitfall zwei verschiedene Prozesse geführt werden müssen (Scartazzini/Hürzeler, a.a.O., §16 Rz 220; zustimmend Lehner, a.a.O., S. 189).</w:t>
      </w:r>
    </w:p>
    <w:p>
      <w:r>
        <w:rPr>
          <w:b/>
        </w:rPr>
        <w:t>E. 2.4</w:t>
      </w:r>
    </w:p>
    <w:p>
      <w:r>
        <w:t>Von einem Teil der Lehre wird die Auffassung vertreten, dass Reiseversi- cherungen als "Nicht-Personenversicherungen" nicht unter den Begriff der Zu- satzversicherungen zur sozialen Krankenversicherung subsumiert werden kön- nen (Felix Hunziker-Blum, Der Rechtsweg bei Zusatzversicherungen zur Kran- kenversicherung: eine "Zivilisierung" durch die kantonalen Gesetzgeber liegt im Interesse aller Beteiligten, in: AJP 6/2008, S. 730; Lorentz, a.a.O., S. 986). Leh- ner vertritt die Auffassung, dass Ferien- und Reiseversicherungen unter den Be- griff der Zusatzversicherung zur sozialen Krankenversicherung fallen (können). Allerdings bezieht sie sich dabei ausschliesslich auf "Versicherungen mit interna- tionalem Schutz" vor den Kosten von "Behandlungen im Ausland" (Lehner, a.a.O., S.186), mithin nicht auf kombinierte Versicherungsangebote mit kranken- versicherungsfremden Elementen (vgl. hierzu Lehner, a.a.O, S. 189 sowie vor- stehende E. 2.2).</w:t>
      </w:r>
    </w:p>
    <w:p>
      <w:r>
        <w:rPr>
          <w:b/>
        </w:rPr>
        <w:t>E. 2.5</w:t>
      </w:r>
    </w:p>
    <w:p>
      <w:r>
        <w:t>In den Besonderen Versicherungsbedingungen (BVB; act. G 1.2) ist unter der Ziffer IV. D. die vom Kläger angerufene Versicherung geregelt. Das Versiche- rungsangebot wird als "erweiterte AssistanceLeistungen und Auslandsreise- Krankenversicherung (GoldAssist)" (nachfolgend: GoldAssist-Versicherung) an- geboten. Gegenstand der GoldAssist-Versicherung ist die Erstattung unvorher- gesehener Kosten, die der versicherten Person während oder im Zusammen- hang mit einer Reise im Ausland entstehen (Ziffer IV. D. 1 i.V.m. Ziffer IV. C. 1.1 BVB). Als Gegenstand der Versicherung werden unvorhergesehene (akut) ein- tretende Versicherungsfälle genannt (Ziffer IV. D. 4 BVB). Im Themenbereich "Krankheit/Unfall/Tod" (Ziffer IV. D. 4.1 BVB) sind u.a. Leistungen bei "Kranken- transporten" geregelt (Ziff. IV. D. 4.1.4 BVB). Zunächst ist darauf hinzuweisen, dass das Risiko Tod krankenversicherungsfremd ist. Hinzu kommt und entschei- dend ist, dass unter der Versicherung GoldAssist überwiegend Risiken erfasst werden, die nicht in einem Zusammenhang mit der sozialen Krankenversiche- rung stehen ("Vorzeitige Heimreise", "Wiedergefundenes Gepäck", "Home As- sistance" und "Fahrzeug Assistance"; Ziffer IV. D. 4.2 ff. BVB), worauf die Be- klagte zu Recht hinweist (act. G 8). Die GoldAssist-Versicherung ist des Weite-</w:t>
      </w:r>
    </w:p>
    <w:p>
      <w:r>
        <w:t>ren eine Ergänzung zur in Ziff. IV. C. geregelten GlobalAssist-Versicherung, die unter dem Titel "Reiseinformationen und Hilfe bei Notfällen im Ausland" angebo- ten wird. Die GlobalAssist-Versicherung erbringt im Wesentlichen Informations- leistungen für die Reise (Ziffer IV. C. 4.1.1 ff. BVB) und Leistungen bei "Verlust von Zahlungsmitteln und Reisedokumenten", im Fall von "Strafverfolgungsmass- nahmen/Behördengängen", im Zusammenhang mit verlorenem Reisegepäck und bei dringenden Nachrichten (Ziffer IV. C. 4.3 ff. BVB). Lediglich im Rahmen "me- dizinischer Notfallhilfe" werden Leistungen bei erforderlichen "stationären oder ambulanten Behandlungen" erbracht, allerdings lediglich im Rahmen von "Ver- mittlungsdiensten/Organisation" (Ziffer IV. C. 4.2.1.1 ff. BVB). Im Licht dieser Umstände ergibt sich, dass der prägende Charakter der GoldAssist-Versicherung in der Risikodeckung für ein breites Feld von unvorhergesehenen Schadenser- eignissen während des reisebedingten Auslandaufenthalts liegt. Angesichts des breiten Leistungsspektrums und entsprechend dem Wesen der auf der GlobalAs- sist-Versicherung aufbauenden kombinierten GoldAssist-Versicherung besteht lediglich ein schwacher Zusammenhang mit der sozialen Krankenversicherung. Die GoldAssist-Versicherung stellt damit nicht eine Zusatzversicherung zur sozi- alen Krankenversicherung im Sinn von Art. 7 ZPO dar.</w:t>
      </w:r>
    </w:p>
    <w:p>
      <w:r>
        <w:rPr>
          <w:b/>
        </w:rPr>
        <w:t>E. 2.6</w:t>
      </w:r>
    </w:p>
    <w:p>
      <w:r>
        <w:t>Ergänzend ist zu bemerken, dass die Beurteilung der vorliegend umstritte- nen Transportleistung trotz Art. 25 Abs. 2 lit. g KVG ("Beitrag an die medizinisch notwendigen Transportkosten sowie an die Rettungskosten") nicht dem "spezifi- schen Fachwissen der Versicherungsgerichte" (vgl. zur Bedeutung dieses Ge- sichtspunkts bei der Auslegung des Begriffs der Zusatzversicherung zur sozialen Krankenversicherung Lehner, a.a.O., S. 180) zuzuordnen ist. Schliesslich ist an- gesichts der ausnahmsweisen Kostenlosigkeit des Verfahrens (Art. 114 lit. e ZPO) und des ausnahmsweise geltenden Untersuchungsgrundsatzes (Art. 247 Abs. 2 lit. a i.V.m. Art. 243 Abs. 2 lit. f ZPO) der Begriff der Zusatzversicherung zur sozialen Krankenversicherung im Sinn von Art. 7 ZPO eng zu verstehen (vgl. auch Hunziker-Blum, a.a.O., S. 727, zum bis 31. Dezember 2010 in Kraft gestan- denen Art. 85 Abs. 3 des Bundesgesetzes betreffend die Aufsicht über Versiche- rungsunternehmen [VAG; SR 961.01]).</w:t>
      </w:r>
    </w:p>
    <w:p>
      <w:r>
        <w:rPr>
          <w:b/>
        </w:rPr>
        <w:t>E. 2.7</w:t>
      </w:r>
    </w:p>
    <w:p>
      <w:r>
        <w:t>Zusammenfassend ergibt sich, dass die vorliegend zu beurteilende Gold- Assist-Versicherung eine Versicherung gegen ein breites Feld unvorhersehbarer Schadensereignisse während des reisebedingten Auslandaufenthalts darstellt, die nicht als Ergänzung zur sozialen Krankenversicherung, sondern zur Globa- lAssist-Versicherung angeboten wurde. Es bestehen lediglich vereinzelte Ele- mente, die in einem Zusammenhang mit der sozialen Krankenversicherung ste- hen, wobei dieser gerade bei der Entschädigung für - wenn auch krankheitsbe- dingt notwendige - Transportkosten als schwach zu bezeichnen ist. Die Versiche- rungsleistungen der GoldAssist-Versicherung fallen damit nicht in den Anwen- dungsbereich von Art. 7 ZPO.</w:t>
      </w:r>
    </w:p>
    <w:p>
      <w:r>
        <w:rPr>
          <w:b/>
        </w:rPr>
        <w:t>E. 2.8</w:t>
      </w:r>
    </w:p>
    <w:p>
      <w:r>
        <w:t>Daran ändern die Vorbringen des Klägers nichts. Zunächst verkennt er, dass die von ihm ins Feld geführten Bestimmungen (Art. 85 Abs. 2 und 3 VAG, act. G 3, S. 1) mit Inkrafttreten der eidgenössischen ZPO per 1. Januar 2011 auf- gehoben wurden (AS 2010 1739), was insofern nicht weiter relevant ist, als diese Bestimmungen materiell unverändert Eingang in die ZPO fanden (vgl. BBl 2006 7300 und 7346). Ins Gewicht fällt indessen, dass die klägerischen Ausführungen (act. G 3, S. 1 ff.) nicht die dargestellte Rechtslage bei kombinierten Versicherun- gen (vgl. vorstehende E. 2.2 f.) erfassen und sich daraus auch keine Gesichts- punkte ergeben, die dafür sprechen würden, Versicherungsverträge, deren Schwergewicht nicht im Zusammenhang mit der sozialen Krankenversicherung liegt, oder einzelne Bestimmungen davon dem Anwendungsbereich von Art. 7 ZPO zu unterwerfen. Aus den eingereichten, von Krankenversicherern angebote- nen Zusatzversicherungen (act. G 3.1 ff.) vermag der Kläger nichts zu seinen Gunsten abzuleiten, bildet doch der Schwerpunkt dieser Versicherungen - im Ge- gensatz zur GoldAssist-Versicherung -, wie aus den Leistungskatalogen (Zusatz- versicherung MONDIA: Im Vordergrund steht die Übernahme von Kosten für me- dizinische Behandlungen, act. G 3.2; Zusatzversicherung Mundo: Hauptgewicht liegt auf der Kostenübernahme für medizinische Behandlungen, act. G 3.4; auch die eingereichten Allgemeinen Versicherungsbedingungen für das Angebot der</w:t>
      </w:r>
    </w:p>
    <w:p>
      <w:r>
        <w:t>ÖKK enthalten primär Leistungen für die medizinischen Behandlungen, act. G 3.5) hervorgeht, die soziale Krankenversicherung ergänzende Ansprüche. Ver- sicherte Risiken sind ausschliesslich Krankheit, Unfall und teilweise Tod (act. G 3.2, 3.4 und 3.5). Die Folgen anderer unvorhergesehener (Schadens-)Ereig- nisse sind im Gegensatz zur GoldAssist-Versicherung (vgl. hierzu vorstehende E. 2.5) nicht erfasst.</w:t>
      </w:r>
    </w:p>
    <w:p>
      <w:r>
        <w:rPr>
          <w:b/>
        </w:rPr>
        <w:t>E. 3</w:t>
      </w:r>
    </w:p>
    <w:p>
      <w:r>
        <w:t>Der Kläger hat die Beklagte mit Fr. 3'700.-- zuzüglich Barauslagen von Fr. 148.-- sowie der Mehrwertsteuer von Fr. 307.85, insgesamt Fr. 4'155.85, zu entschädigen.</w:t>
      </w:r>
    </w:p>
    <w:p>
      <w:r>
        <w:rPr>
          <w:b/>
        </w:rPr>
        <w:t>E. 3.1</w:t>
      </w:r>
    </w:p>
    <w:p>
      <w:r>
        <w:t>Nach dem Gesagten ist mangels sachlicher Zuständigkeit des Versiche- rungsgerichts auf die Klage nicht einzutreten.</w:t>
      </w:r>
    </w:p>
    <w:p>
      <w:r>
        <w:rPr>
          <w:b/>
        </w:rPr>
        <w:t>E. 3.2</w:t>
      </w:r>
    </w:p>
    <w:p>
      <w:r>
        <w:t>Gerichtskosten sind keine zu erheben (Art. 114 lit. e ZPO).</w:t>
      </w:r>
    </w:p>
    <w:p>
      <w:r>
        <w:rPr>
          <w:b/>
        </w:rPr>
        <w:t>E. 3.3</w:t>
      </w:r>
    </w:p>
    <w:p>
      <w:r>
        <w:t>Bei Nichteintreten auf die Klage gilt die klagende Partei als unterliegende Partei, der die Prozesskosten zu auferlegen sind (Art. 106 Abs. 1 ZPO), weshalb der Kläger ausgangsgemäss keinen Anspruch auf eine Parteientschädigung hat. Die Beklagte beantragte ebenfalls eine Parteientschädigung (act. G 8). Eine Ho- norarnote hat sie nicht eingereicht. Da Art. 114 ZPO nur die Gerichtskosten be- trifft, steht diese Bestimmung der Zusprache einer Parteientschädigung an die obsiegende berufsmässig vertretene (Art. 95 Abs. 3 lit. b ZPO) beklagte Versi- cherung nicht entgegen (BGE 137 III 47 [= Urteil des Bundesgerichts vom 17. November 2010, 4A_194/2010] nicht publizierte E. 2.2.1). Die Parteientschä- digung spricht das Gericht nach den Tarifen zu (Art. 105 Abs. 2 ZPO). Gemäss Art. 96 ZPO setzen die Kantone die Tarife über die Prozesskosten fest. Das mitt- lere Honorar im Zivilprozess beträgt für einen Streitwert von Fr. 50'000.-- bis Fr. 100'000.-- Fr. 3'600.-- + 8.8 Prozent des Streitwerts (Art. 14 Abs. 1 lit. d der Honorarordnung für Rechtsanwälte und Rechtsagenten [sGS 963.75]) bzw. vor- liegend Fr. 10'083.25 (Fr. 3'600.-- + [Fr. 73'673.35 x 0.088]). Da das Versiche- rungsgericht in Streitigkeiten betreffend die Krankenzusatzversicherung anstelle des Kantonsgerichts als erste Instanz entscheidet, ist die Parteientschädigung in Nachachtung von Art. 15 der Honorarordnung um einen Fünftel zu erhöhen, wo- mit ein Betrag von Fr. 12'099.90 resultiert. Gemäss Art. 27 der Honorarordnung wird das Honorar ausserhalb des ordentlichen Zivilprozesses bei einem unvoll- ständigen Prozess angemessen gekürzt. Angesichts dessen, dass sich der vor- liegende Prozess auf die eingeschränkte Streitfrage der sachlichen Zuständigkeit des Versicherungsgerichts bzw. auf eine Eintretensvoraussetzung beschränkte und sich die Beklagte im Wesentlichen bloss hierzu vernehmen liess, rechtfertigt sich eine Kürzung von rund 70% auf Fr. 3'700.--. Die zu entschädigenden Bar- auslagen betragen gemäss Art. 28bis Abs. 1 der Honorarordnung Fr. 148.-- (Fr. 3'700.-- x 0.04). Unter Berücksichtigung des Honorars sowie der Barausla- gen resultiert bei einer Mehrwertsteuer von 8 Prozent (Art. 25 Abs. 1 des Bun- desgesetzes über die Mehrwertsteuer [MWSTG; SR 641.20]) ein Steuerbetrag von Fr. 307.85 ([Fr. 3'700.-- +Fr. 148.--] x 0.08). Demgemäss hat das Versicherungsgericht entschieden: 1. Auf die Klage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