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20130318_d_ch_b_01 vom 18. März 2013</w:t>
      </w:r>
    </w:p>
    <w:p>
      <w:r>
        <w:t>FINMA Versicherungsrecht, 2013-03-18, DE</w:t>
      </w:r>
    </w:p>
    <w:p>
      <w:r>
        <w:rPr>
          <w:b/>
        </w:rPr>
        <w:t xml:space="preserve">Quelle: </w:t>
      </w:r>
      <w:r>
        <w:t>https://mcp.opencaselaw.ch/entscheid/finma_versicherungsrecht_20130318_d_ch_b_01</w:t>
      </w:r>
    </w:p>
    <w:p>
      <w:r>
        <w:t>FR: FINMA_VERSICHERUNGSRECHT 20130318_d_ch_b_01 du 18 mars 2013</w:t>
      </w:r>
    </w:p>
    <w:p>
      <w:r>
        <w:t>IT: FINMA_VERSICHERUNGSRECHT 20130318_d_ch_b_01 del 18 marzo 2013</w:t>
      </w:r>
    </w:p>
    <w:p>
      <w:pPr>
        <w:pStyle w:val="Heading2"/>
      </w:pPr>
      <w:r>
        <w:t>Erwägungen</w:t>
      </w:r>
    </w:p>
    <w:p>
      <w:r>
        <w:rPr>
          <w:b/>
        </w:rPr>
        <w:t>E. 1</w:t>
      </w:r>
    </w:p>
    <w:p>
      <w:r>
        <w:t>Wenn – wie hier – an den Verfahren dieselben Parteien beteiligt sind und den Beschwerden der gleiche Sachverhalt zugrunde liegt, behan- Seite 6</w:t>
      </w:r>
    </w:p>
    <w:p>
      <w:r>
        <w:t>delt das Bundesgericht die verschiedenen Eingaben in der Regel in einem einzigen Urteil. Es rechtfertigt sich daher unter den gegebenen Umständen, die beiden Beschwerdeverfahren 4A_571/2012 und 4A_579/2012 zu vereinigen.</w:t>
      </w:r>
    </w:p>
    <w:p>
      <w:r>
        <w:rPr>
          <w:b/>
        </w:rPr>
        <w:t>E. 2</w:t>
      </w:r>
    </w:p>
    <w:p>
      <w:r>
        <w:t>Das Bundesgericht prüft von Amtes wegen und mit freier Kognition, ob ein Rechtsmittel zulässig ist (Art. 29 Abs. 1 BGG; BGE 138 III 46 E. 1 S. 46 mit Hinweis). Im kantonalen Verfahren wurde der Deckungskapitalanspruch be- treffend die Altrenten abgewiesen, jener betreffend die Neurenten grundsätzlich gutgeheissen, wobei die Höhe des Anspruchs einem Beweisverfahren vorbehalten blieb. In Bezug auf die Abweisung han- delt es sich um einen anfechtbaren Teilentscheid (Art. 91 lit. a BGG; BGE 135 III 212 E. 2 S. 217 f.; 135 V 141 E. 1.4.6 S. 147 f.) in Bezug auf jenen Teil, der die Neurenten betrifft, um einen Zwischenentscheid im Sinn von Art. 93 BGG (vgl. BGE 133 V 477 E. 4.1.3 S. 481 mit Hinweisen). Gegen einen solchen ist die Beschwerde zulässig, wenn deren Gutheissung sofort einen Endentscheid herbeiführen und damit einen bedeutenden Aufwand an Zeit und Kosten für ein weitläufiges Beweisverfahren ersparen würde (Art. 93 Abs. 1 lit. b BGG). Das Er- fordernis des sofortigen Endentscheids ist nur erfüllt, wenn das Bun- desgericht selbst den Prozess mit seinem Entscheid beenden kann. Dies ist nicht der Fall, wenn es die Sache zu neuer Entscheidung zurückweisen muss, wenn es also nicht gemäss Art. 107 Abs. 2 BGG selbst reformatorisch entscheidet (BGE 133 III 634 E. 1.1 S. 636 mit Hinweis). Die Vorinstanz hat mit Blick auf die Neurenten festgehalten, dass Berechnungsdifferenzen, die nicht auf das Problem der Über- schussrenten zurückzuführen seien, nicht geltend gemacht worden und daher nicht zu berücksichtigen seien. Das bedeutet, dass das Bundesgericht, wenn es betreffend Nicht-Abgeltung einer Überschuss- rente den Standpunkt der Beklagten schützt, deren Beschwerde gut- heissen und die diesbezügliche Klage ohne Weiterungen in einem Endentscheid abweisen kann. Angesichts des von den kantonalen Instanzen in Aussicht genommenen Beweisverfahrens ist offensicht- lich auch die zweite Voraussetzung, dass bedeutender Aufwand an Zeit und Kosten erspart wird, erfüllt. Da auch die übrigen Sachurteilsvoraussetzungen gegeben sind, ist – unter Vorbehalt einer hinreichenden Begründung (Art. 42 Abs. 2 und 106 Abs. 2 BGG) – auf die Beschwerden einzutreten. Seite 7</w:t>
      </w:r>
    </w:p>
    <w:p>
      <w:r>
        <w:rPr>
          <w:b/>
        </w:rPr>
        <w:t>E. 2.5</w:t>
      </w:r>
    </w:p>
    <w:p>
      <w:r>
        <w:t>des KT95 (zur Berechnung vgl. Ziff. A 2.2., S. 111/112) ergibt (7,2 % statt 5,8 %). Das Bundesgericht hat im Urteil 9C_741/2010 vom 12. Mai 2011 eine Vorsorgeeinrichtung verpflichtet, das an die neue Vorsorgeeinrichtung zu überweisende Deckungskapital ("réserve mathématique") inklusive der Überschussanteile festzulegen. Entscheidend war hier aber, dass die technischen Unterlagen, auf die im Anschlussvertrag verwiesen wurde, ausdrücklich festhielten, das Deckungskapital sei jener Betrag, der es erlaube, die Zahlung der versicherten Leistungen zu garantie- ren ("La réserve mathématique est le montant devant être mis à disposition à un moment donné pour permettre, compte tenu des primes encore dues en application du contrat, de garantir le paiement des prestations assurées"). Diese im Vertrag selbst enthaltene Garantie der Leistungen war ent- scheidend (zit. Urteil 9C_741/2010 E. 3.3 i.V.m. E. 3.1). Im zu beurteilenden Fall fehlt es aber wie dargelegt an einer solchen Garantie.</w:t>
      </w:r>
    </w:p>
    <w:p>
      <w:r>
        <w:rPr>
          <w:b/>
        </w:rPr>
        <w:t>E. 3.1</w:t>
      </w:r>
    </w:p>
    <w:p>
      <w:r>
        <w:t>Mit der Beschwerde in Zivilsachen kann die Verletzung von Bun- desrecht (einschliesslich Bundesverfassungsrecht) gerügt werden (Art. 95 lit. a BGG). Nicht zu den in Art. 95 BGG vorgesehenen Rüge- gründen gehört hingegen die Verletzung kantonaler Verfahrensvor- schriften, deren Anwendung und Auslegung vom Bundesgericht einzig unter dem Blickwinkel eines Verstosses gegen Bundesrecht bzw. gegen Bundesverfassungsrecht beurteilt werden kann (BGE 136 I 241 E. 2.4 S. 249; 134 III 379 E. 1.2 S. 382 f.). Das kantonale Verfahren richtete sich noch nach der nunmehr aufgehobenen Zivilprozess- ordnung des Kantons Basel-Stadt vom 8. Februar 1875 (aZPO/BS, aSG 221.100; Art. 404 Abs. 1 und Art. 405 Abs. 1 ZPO).</w:t>
      </w:r>
    </w:p>
    <w:p>
      <w:r>
        <w:rPr>
          <w:b/>
        </w:rPr>
        <w:t>E. 3.2</w:t>
      </w:r>
    </w:p>
    <w:p>
      <w:r>
        <w:t>Das Bundesgericht wendet das Recht von Amtes wegen an (Art. 106 Abs. 1 BGG). Es ist somit weder an die in der Beschwerde geltend gemachten Argumente noch an die Erwägungen der Vorin- stanz gebunden; es kann eine Beschwerde aus einem anderen als dem angerufenen Grund gutheissen oder eine Beschwerde mit einer von der Argumentation der Vorinstanz abweichenden Begründung ab- weisen. Mit Blick auf die Begründungspflicht des Beschwerdeführers (Art. 42 Abs. 1 und 2 BGG) behandelt es aber grundsätzlich nur die geltend gemachten Rügen, sofern die rechtlichen Mängel nicht gera- dezu offensichtlich sind; es ist jedenfalls nicht gehalten, wie eine erst- instanzliche Behörde alle sich stellenden rechtlichen Fragen zu unter- suchen, wenn diese vor Bundesgericht nicht mehr vorgetragen werden (BGE 135 III 397 E. 1.4 S. 400; 134 III 102 E. 1.1 S. 104 f.). Eine qualifizierte Rügepflicht gilt hinsichtlich der Verletzung von Grundrech- ten und von kantonalem und interkantonalem Recht. Das Bundesge- richt prüft eine solche Rüge nur insofern, als sie in der Beschwerde präzise vorgebracht und begründet worden ist (Art. 106 Abs. 2 BGG). Die Begründung hat in der Beschwerdeschrift selbst zu erfolgen. Der blosse Verweis auf Ausführungen in anderen Rechtsschriften oder auf die Akten reicht nicht aus (BGE 133 II 396 E. 3.1 S. 399 f.; 131 III 384 E. 2.3 S. 387 f.; je mit Hinweisen).</w:t>
      </w:r>
    </w:p>
    <w:p>
      <w:r>
        <w:rPr>
          <w:b/>
        </w:rPr>
        <w:t>E. 3.3</w:t>
      </w:r>
    </w:p>
    <w:p>
      <w:r>
        <w:t>Das Bundesgericht legt seinem Urteil den Sachverhalt zugrunde, den die Vorinstanz festgestellt hat (Art. 105 Abs. 1 BGG). Es kann die Sachverhaltsfeststellung der Vorinstanz nur berichtigen oder ergän- zen, wenn sie offensichtlich unrichtig ist oder auf einer Rechts- verletzung im Sinne von Art. 95 BGG beruht (Art. 105 Abs. 2 BGG). Überdies muss die Behebung des Mangels für den Ausgang des Verfahrens entscheidend sein (Art. 97 Abs. 1 BGG). Neue Tatsachen Seite 8</w:t>
      </w:r>
    </w:p>
    <w:p>
      <w:r>
        <w:t>und Beweismittel dürfen nur soweit vorgebracht werden, als der Ent- scheid der Vorinstanz dazu Anlass gibt (Art. 99 Abs. 1 BGG). Beschwerde der Beklagten (4A_579/2012)</w:t>
      </w:r>
    </w:p>
    <w:p>
      <w:r>
        <w:rPr>
          <w:b/>
        </w:rPr>
        <w:t>E. 4</w:t>
      </w:r>
    </w:p>
    <w:p>
      <w:r>
        <w:t>Umstritten ist, ob beim Deckungskapital für die Neurenten die gesamte Rente zu berücksichtigen ist, wie sie von der Beklagten bis zur Vertragsauflösung geleistet wurde, oder nur ein Teil davon (sog. "ga- rantierte Rente" oder Tarifrente, die von der "Überschussrente" zu unterscheiden ist). Das hängt vorerst mit der Frage zusammen, ob die Beklagte gemäss Kollektiv-Lebensversicherungsvertrag verpflichtet gewesen wäre, die Rentenbezüger zu behalten bzw. deren Leistungen wie während der Laufzeit des Vertrages weiterhin auszurichten. Die Vorinstanz erachtete ein Deckungskapital (bzw. nach ihrer Begrün- dung einen "Preis") ohne Berücksichtigung der Überschussrente na- mentlich deshalb als unbillig, weil sie zum Schluss kam, die Beklagte wäre grundsätzlich verpflichtet gewesen, die Rentner zu behalten und ihnen weiterhin die vollen bisherigen Leistungen zu erbringen.</w:t>
      </w:r>
    </w:p>
    <w:p>
      <w:r>
        <w:rPr>
          <w:b/>
        </w:rPr>
        <w:t>E. 4.1</w:t>
      </w:r>
    </w:p>
    <w:p>
      <w:r>
        <w:t>Die Vorsorgeeinrichtung, die mittels Anschlussvertrag mit dem Arbeitgeber dessen Sicherstellung der beruflichen Vorsorge übernom- men hat und im Vorsorgereglement ihre zu erbringenden Leistungen zuhanden der Destinatäre (Arbeitnehmer und Rentner) umschreibt, kann diese Risiken selber tragen oder sie ganz oder teilweise mit ei- nem Versicherungsvertrag einer Versicherungseinrichtung übertragen (Art. 67 BVG [SR 831.40]; BGE 130 II 258 E. 2.1 S. 260; ROMOLO MOLO, in: BVG und FZG, Schneider und andere [Hrsg.], 2010, N. 27 ff. zu Art. 67 BVG; HANSJÖRG SEILER, Der Anschlussvertrag an eine Perso- nalvorsorgeeinrichtung, in: Versicherungsbranche im Wandel; Liber amicorum für Moritz W. Kuhn zum 65. Geburtstag, 2009, S. 375 ff., S. 378). Bis zur 1. BVG-Revision, die mit Bezug auf den hier interessierenden Art. 53e BVG auf den 1. April 2004 in Kraft gesetzt wurde, war die Auf- lösung von Anschlussverträgen und von Kollektivversicherungsverträ- gen im BVG nicht geregelt; namentlich fehlte es an einer Regelung da- rüber, was in einem solchen Fall für die Rentenbezüger gilt (BGE 135 V 261 E. 4.1 S. 263; 127 V 377 E. 5b S. 383; HANS-ULRICH STAUFFER, Berufliche Vorsorge, 2. Aufl. 2012, S. 545 ff. Rz. 1467 und 1471; UELI KIESER, BVG und FZG, a.a.O., N. 1 zu Art. 53e BVG). Während ältere Vertragsbedingungen meistens vorsahen, dass die laufenden Renten Seite 9</w:t>
      </w:r>
    </w:p>
    <w:p>
      <w:r>
        <w:t>auch nach der Kündigung bei der bisherigen Einrichtung blieben, bürgerten sich im Laufe der Zeit Regelungen ein, wonach bei Kün- digung eines Kollektivversicherungs- oder Anschlussvertrages auch die laufenden Renten als gekündigt galten. Der Arbeitgeber musste somit eine neue Vorsorge- bzw. Versicherungseinrichtung suchen, die bereit war, die laufenden Rentenfälle zu übernehmen. Weil das zu überweisende Deckungskapital aufgrund unterschiedlicher Tarifgrund- lagen häufig tiefer war als das vom neuen Versicherer geforderte, hatte die Vorsorgeeinrichtung oft nur die Wahl, auf die Kündigung zu verzichten. Die Revision sollte diese goldenen Fesseln beseitigen (SEILER, a.a.O, S. 390 f.). Mit der Revision wurde in Art. 53e BVG die Auflösung solcher Verträge ausdrücklich geregelt, in den Absätzen 1 bis 3 die Auflösung von Verträgen zwischen Versicherungseinrich- tungen und Vorsorgeeinrichtungen, danach jene des Anschlussver- trages (vgl. zur Entstehungsgeschichte dieser gesetzlichen Bestim- mungen: BGE 135 V 261 E. 4.3 S. 264 ff.; KIESER, a.a.O., N. 1 zu Art. 53e BVG). Bei der Auflösung eines Versicherungsvertrages gilt als Grundsatz, dass ein Anspruch auf das Deckungskapital (Art. 53e Abs. 1 BVG) und auf eine anteilsmässige Beteiligung an den Überschüssen des Versicherungsverlaufs (Art. 53e Abs. 2 BVG) besteht. Für die Be- rechnung des Deckungskapitals gilt das sog. "Drehtürprinzip", wonach eine Versicherung der Vorsorgeeinrichtung soviel Deckungskapital mitgeben muss, wie sie von ihr im Falle eines Neuabschlusses im glei- chen Zeitpunkt für den gleichen Versicherten- und Rentnerbestand mit den gleichen Leistungen verlangen würde. Das Drehtürprinzip gilt auch für die Rentnerbestände (Art. 16a Abs. 1 der Verordnung vom 18. April 1984 über die berufliche Alters-, Hinterlassenen- und Invali- denvorsorge (BVV 2; SR 831.441.1); STAUFFER, a.a.O., S. 549 f. Rz. 1477; KIESER, a.a.O., N. 11 zu Art. 53e BVG), sofern solche über- gehen. Die Auffassung der Klägerin zur Berechnung des Nachzahlungsbetra- ges entspricht dem "Drehtürprinzip". Sie macht denn auch in diesem Sinn geltend, die beklagtische Auslegung würde eine "übermässige Ver- tragsbindung bedeuten, indem der Rückdeckungsvertrag faktisch unkündbar wäre". Nachdem der Kollektivversicherungsvertrag vor dem 1. April 2004 gekündigt wurde, sind die revidierten Bestimmungen von Art. 53a BVG nicht anwendbar (SEILER, a.a.O, S. 391). Zu prüfen bleibt, ob aufgrund der vertraglichen Regelung eine vergleichbare Verpflich- tung der Beklagten abgeleitet werden kann.</w:t>
      </w:r>
    </w:p>
    <w:p>
      <w:r>
        <w:rPr>
          <w:b/>
        </w:rPr>
        <w:t>E. 4.2</w:t>
      </w:r>
    </w:p>
    <w:p>
      <w:r>
        <w:t>Der Kollektivversicherungsvertrag ist ein privatrechtlicher Vertrag; er ist daher nach den privatrechtlichen Regeln auszulegen. Seite 10</w:t>
      </w:r>
    </w:p>
    <w:p>
      <w:r>
        <w:rPr>
          <w:b/>
        </w:rPr>
        <w:t>E. 4.2.1</w:t>
      </w:r>
    </w:p>
    <w:p>
      <w:r>
        <w:t>Der Inhalt der beiderseitigen Erklärungen bestimmt sich in erster Linie nach dem wirklichen Willen der Vertragsparteien (Art. 18 Abs. 1 OR). Kann eine tatsächliche Einigung nicht festgestellt werden, ist die Vereinbarung nach dem Vertrauensprinzip so auszulegen, wie sie nach ihrem Wortlaut und Zusammenhang sowie den gesamten Umständen verstanden werden durfte und musste. Während das Bun- desgericht die objektivierte Auslegung von Willenserklärungen als Rechtsfrage prüfen kann, beruht die subjektive Auslegung auf Beweis- würdigung, die vorbehaltlich der Ausnahme von Art. 105 Abs. 2 BGG der bundesgerichtlichen Überprüfung entzogen ist (BGE 135 III 410 E. 3.2 S. 412 f. mit Hinweis).</w:t>
      </w:r>
    </w:p>
    <w:p>
      <w:r>
        <w:rPr>
          <w:b/>
        </w:rPr>
        <w:t>E. 4.2.2</w:t>
      </w:r>
    </w:p>
    <w:p>
      <w:r>
        <w:t>Die Klägerin ist der Auffassung, die Ausführungen der Vorins- tanz zum Inhalt des Vertrages, insbesondere dass dieser die laufen- den Renten nicht erfasse, hielten eine tatsächliche Willensüberein- stimmung fest, an die das Bundesgericht grundsätzlich gebunden sei. Die Vorinstanz stützte ihren Entscheid namentlich auf das in Art. 7 AVB enthaltene Wort "Versicherung", das "üblicherweise" für bereits laufende Leistungen nicht verwendet werde. Auch der in der gleichen Bestimmung sowie in Art. 4 AVB benutzte Begriff "Inventardeckungs- kapital" sei "auf Versicherungsverhältnisse zugeschnitten", deren Versiche- rungsfall noch nicht eingetreten sei. Es stelle sich daher die Frage, ob ein "qualifiziertes Schweigen" angenommen werden müsse und die be- reits entstandenen Rentenzahlungspflichten nicht auszukaufen seien, sondern weiterliefen. Es liege nahe, "diese Frage im Sinne des bei der Kündigung von Versicherungsverträgen Üblichen zu bejahen". Die Vorins- tanz gelangte mithin nicht aufgrund der Würdigung von Beweisen zu einer subjektiven Auslegung des Vertrages, sondern legte diesen aufgrund eines allgemeinen Begriffsverständnisses objektivierend aus. Selbst wenn die Vorinstanz aber von einer tatsächlichen Willensüber- einstimmung ausgegangen sein sollte, hätte sie ihre Schlüsse aus- schliesslich aus Umständen gezogen, die bei der Vertragsauslegung nach dem Vertrauensprinzip zu berücksichtigen sind. Diesfalls kann sie aber ohne Willkür nicht zu einem von der Auslegung nach dem Vertrauensprinzip abweichenden tatsächlichen Parteiwillen gelangen. Eine derartige Abweichung lässt sich nur durch Umstände rechtferti- gen, die bei der Auslegung nach dem Vertrauensprinzip nicht berück- sichtigt werden, wie beispielsweise das nachträgliche Parteiverhalten (Urteil des Bundesgerichts 4A_156/2008 vom 8. Juli 2008 E. 1.3). Die Auslegung durch die Vorinstanz kann somit auf jeden Fall vom Bundesgericht überprüft werden. Seite 11</w:t>
      </w:r>
    </w:p>
    <w:p>
      <w:r>
        <w:rPr>
          <w:b/>
        </w:rPr>
        <w:t>E. 4.2.3</w:t>
      </w:r>
    </w:p>
    <w:p>
      <w:r>
        <w:t>Bei einer Auslegung nach dem Vertrauensprinzip hat der Erklä- rungsempfänger für ihn erkennbare branchenspezifische Fachaus- drücke oder Bezeichnungen in der Regel so zu verstehen, wie sie in der jeweiligen Branche üblicherweise verstanden werden (BGE 131 III 606 E. 4.2 S. 612 mit Hinweis). Wenn beide Vertragsparteien in der- selben Branche tätig und fachkundig sind, obliegt es nach Treu und Glauben jeder Partei selbst, sich über die Tragweite von Fachaus- drücken in den unterzeichneten Vertragsbestimmungen kundig zu ma- chen (BGE 125 III 263 E. 4b/bb S. 267 f.). Zu den branchenspezifi- schen Begriffen gehören im Rahmen der beruflichen Vorsorge auch versicherungstechnische und -mathematische Grundsätze (BGE 132 V 278 E. 4.3 S. 282 mit Hinweis). Die Klägerin hat vom Arbeitgeber dessen Sicherstellung der berufli- chen Vorsorge übernommen. Solches hätte sie bereits aus allgemei- nen Sorgfaltsüberlegungen nicht tun dürfen, wenn ihr die in diesem Bereich branchenspezifischen Bedingungen nicht geläufig waren. Hin- zu kommt, dass sie nach ihren eigenen Ausführungen auch im Be- schwerdeverfahren bei den Vertragsverhandlungen Dr. B.________ als begleitenden Pensionskassenexperten beigezogen hatte. Sie hat daher als branchen- und fachkundig im Sinn der dargelegten Praxis zu gelten.</w:t>
      </w:r>
    </w:p>
    <w:p>
      <w:r>
        <w:rPr>
          <w:b/>
        </w:rPr>
        <w:t>E. 4.2.4</w:t>
      </w:r>
    </w:p>
    <w:p>
      <w:r>
        <w:t>Der Kollektiv-Lebensversicherungsvertrag umfasst lediglich vier Artikel. Im Übrigen verweist er in Art. 1 auf die (fünfzehn Artikel umfas- senden) AVB der Beklagten. Vorformulierte Vertragsbestimmungen sind grundsätzlich nach den gleichen Regeln wie individuell verfasste Vertragsklauseln auszulegen (BGE 135 III 1 E. 2 S. 6, 410 E. 3.2 S. 412). Die Klägerin macht geltend, auf die AVB und den diesen unterliegen- den KT95, der ebenfalls seitens der Beklagten vorformulierte Regeln beinhalte, sei die Ungewöhnlichkeitsregel anzuwenden. Die Geltung vorformulierter allgemeiner Geschäftsbedingungen wird gemäss der Rechtsprechung durch die Ungewöhnlichkeitsregel eingeschränkt. Da- nach sind von der global erklärten Zustimmung zu allgemeinen Ver- tragsbedingungen alle ungewöhnlichen Klauseln ausgenommen, auf deren Vorhandensein die schwächere oder weniger geschäftserfahre- ne Partei nicht gesondert aufmerksam gemacht worden ist (BGE 138 III 411 E. 3.1 S. 412; 135 III 1 E. 2.1 S. 7, 225 E. 1.3 S. 227 f). Nach - dem die Klägerin als branchen- und fachkundig zu gelten hat und im Zeitpunkt des Abschlusses des Vertrages auch kein entscheidendes Seite 12</w:t>
      </w:r>
    </w:p>
    <w:p>
      <w:r>
        <w:t>Machtgefälle zwischen ihr und der Beklagten bestand, fehlt es bereits an den subjektiven Voraussetzungen zur Anwendung dieser Regel.</w:t>
      </w:r>
    </w:p>
    <w:p>
      <w:r>
        <w:rPr>
          <w:b/>
        </w:rPr>
        <w:t>E. 4.3</w:t>
      </w:r>
    </w:p>
    <w:p>
      <w:r>
        <w:t>Art. 7 Abs. 1 AVB unter dem Titel "Vertragsauflösung" lautet: "Bei der Kündigung des Versicherungsvertrages werden auf Verlangen der Versiche- rungsnehmerin alle Versicherungen – oder im Einverständnis mit der Z.________ AG nur die Versicherungen einer generell umschriebenen Kate- gorie von versicherten Personen – zurückgekauft oder in prämienfreie Versi- cherungen umgewandelt".</w:t>
      </w:r>
    </w:p>
    <w:p>
      <w:r>
        <w:rPr>
          <w:b/>
        </w:rPr>
        <w:t>E. 4.3.1</w:t>
      </w:r>
    </w:p>
    <w:p>
      <w:r>
        <w:t>Die Vorinstanz bezog den Begriff "Versicherungen" nur auf die aktiv Versicherten. Es trifft zu, dass der Begriff im allgemeinen Sprachgebrauch und soweit er das Vertragsverhältnis zwischen dem Versicherten und dem Versicherer betrifft, das aktive Versicherungs- verhältnis meint, also nicht die Leistungen, die auch nach einem ge- kündeten Versicherungsvertrag noch erbracht werden müssen. Auch im BVG wird der Begriff Versicherung (die "obligatorische Versiche- rung" im Sinn der Versicherungspflicht) auf den Zeitraum bis zum Er- reichen des Rentenalters bezogen (Art. 10 Abs. 2 lit. a BVG; vgl. auch BGE 138 V 227 E. 5 S. 231 ff.). Die Streitsache betrifft jedoch nicht das Verhältnis zum Versicherten bzw. dem Begünstigten; entschei- dend ist, wie nach dem Vertrauensprinzip die vertragliche Regelung zwischen den Parteien auszulegen ist. Zwischen den Parteien ist umstritten, ob diese Frage durch BGE 127 V 377 (bestätigt mit Urteil des Bundesgerichts 9C_128/2011 vom 16. November 2011 E. 4.3.2, publ. in: SVR 2012 BVG Nr. 17 S. 73) bereits entschieden wurde, da sich dieser Entscheid u.a. ebenfalls auf den hier auszulegenden Art. 7 Abs. 1 der AVB (gültig ab 1. Januar 1996) der Beklagten bezog. Wie beide kantonalen Instanzen zutref- fend erkannt haben, ist dies zu verneinen. Vorerst bezog sich jene Streitigkeit auf den Anschlussvertrag, betraf also das Verhältnis zwischen dem Arbeitgeber und der Vorsorgeeinrichtung, wobei es sich bei der Vorsorgeeinrichtung um eine vom (Kollektiv-)Versicherer be- triebene Sammelstiftung handelte. Vor allem war in BGE 127 V 377 aber massgebend, die Interessen der mit der Vorsorgeeinrichtung vertraglich verbundenen Rentner zu berücksichtigen. Diese sollten nicht dazu gezwungen werden, einer anderen Vorsorgeeinrichtung anzugehören als die aktiv Versicherten. Hier sind die aktiven und ehemaligen Arbeitnehmer vor und nach der Kündigung des Kollektiv- Lebensversicherungsvertrages mit der gleichen Vorsorgeeinrichtung vertraglich verbunden. Es geht lediglich um die Frage der Rück- deckung, welche die Destinatäre nicht betrifft. Zu Recht hat sich die Seite 13</w:t>
      </w:r>
    </w:p>
    <w:p>
      <w:r>
        <w:t>Vorinstanz daher auch nicht zur Kritik an diesem Entscheid in der Lehre (HANS-ULRICH STAUFFER, Das Rentenschicksal bei der Auflösung eines Anschlussvertrages, in: SZS 2004 S. 69 ff.; MONICA SCHIESSER, Die Übertragung laufender (Alters-)Renten bei Auflösung von An- schlussverträgen mit Sammelstiftungen, in: HAVE 2003, S. 306 ff.) geäussert. Der Entscheid zeigt aber, dass der Ausdruck "Versicherun- gen" in Art. 7 Abs. 1 AVB jedenfalls nicht ohne weiteres in dem engen, von der Vorinstanz vertretenen Sinn verstanden werden muss (vgl. BGE 127 V 377 E. 5c/cc S. 387 f.). Art. 1 des Kollektiv-Lebensversicherungsvertrages behandelt die "Grundlagen" des Vertrages. Abs. 3 lautet wie folgt: "Den Versicherungen liegen die vom Bundesamt für Privatversicherungswesen genehmigten Kollek- tiv-Lebensversicherungs-Tarife zugrunde". Im KT95 wird die Vertragsauflö- sung in Ziff. 8.2 geregelt, und heisst es im Ingress: "Wird der Kollektivvertrag aufgelöst, so wird auch die Gesamtheit der bestehenden Versicherungen aufgelöst und dem Versicherungsnehmer der Rückerstattungswert bei Ver- tragsauflösung ausbezahlt". In Ziff. 8.2.1 werden dann die einzelnen Rückerstattungswerte definiert, wobei Ziff. 8.2.1.3 auch eine Bestim- mung des Rückerstattungswerts "für Bezüger von Altersleistungen" ent- hält. Die Vorinstanz nahm an, der KT95 sei ohne Bedeutung, "weil die technischen Grundlagen nicht Vertragsinhalt, sondern nur Hilfsmittel zur Be- rechnung von aufgrund des Vertragsinhaltes geschuldeten Leistungen sein sollten". Sie begründet dies nicht weiter und es ist unklar, wie ein Do- kument zwar nicht Vertragsinhalt, aber doch Hilfsmittel für die Berech- nung eines Anspruchs sein soll. Der ausdrückliche Verweis in Art. 1 Abs. 3 des Vertrages unter dem Titel Vertragsgrundlagen kann nur so verstanden werden, dass für die "Versicherungen", das heisst einer- seits die Prämien und andererseits die Leistungen, die Tarife mass- geblich sind. Sofern in dem allgemein gehaltenen Basisvertrag und den AVB Begriffe versicherungstechnischer Art verwendet werden, ist für deren Auslegung auf den Tarif zurückzugreifen. Somit ist davon auszugehen, dass "Versicherungen" in Art. 7 Abs. 1 AVB im gleichen Sinn zu verstehen ist wie in Ziff. 8.2 des KT95, wo der Begriff zweifel- los auch die Rentenverhältnisse umfasst. Daran ändert nichts, dass der Verweis auf die Tarife lediglich in Art. 1 Abs. 3 des Kollektiv- Lebensversicherungsvertrages erfolgt und nicht in dessen Absatz 1. Entgegen der Klägerin und der Vorinstanz ergibt sich schliesslich auch daraus, dass gemäss Art. 7 AVB alternativ zum Rückkauf die Um- wandlung in eine prämienfreie Versicherung möglich ist, nichts ande- res. Es trifft zwar zu, dass eine solche nur vor Eintritt der Pensionie- rung möglich ist (solange noch Prämien bezahlt werden), also bei aktiven Versicherungsverhältnissen; jedoch bezieht sich Art. 7 AVB Seite 14</w:t>
      </w:r>
    </w:p>
    <w:p>
      <w:r>
        <w:t>eben sowohl auf die aktiven wie die passiven Versicherungsverhältnis- se. Eine Auslegung des Vertrages nach dem Vertrauensprinzip ergibt somit, dass auch die Rentenverhältnisse erfasst sind.</w:t>
      </w:r>
    </w:p>
    <w:p>
      <w:r>
        <w:rPr>
          <w:b/>
        </w:rPr>
        <w:t>E. 4.3.2</w:t>
      </w:r>
    </w:p>
    <w:p>
      <w:r>
        <w:t>Was die Klägerin dagegen einwendet, ist nicht geeignet, diese Auslegung in Frage zu stellen. Sie rügt mit Aktenhinweis, die Beklagte selbst habe sich ausschliesslich auf Art. 4 und 7 AVB berufen. Darin besteht indessen kein Widerspruch, denn die Beklagte ging offensicht- lich davon aus, Art. 4 und 7 AVB seien für sich genügend klar, ohne dass für deren Auslegung auf den Tarif zurückgegriffen werden muss. Insbesondere macht die Klägerin geltend, die Vorinstanz habe in tatsächlicher Hinsicht verbindlich festgehalten, dass die Klägerin den nicht allgemeingültigen Inhalt der KT95 weder kannte noch kennen konnte und dieser sogar vor ihr geheimgehalten worden sei. Dies trifft nicht zu; am angegebenen Ort hat die Vorinstanz lediglich eine ent- sprechende Behauptung der Klägerin im Hinblick auf die Beurteilung des Novenverbots wiedergegeben. Im Übrigen wäre es der Klägerin oblegen (vgl. E. 4.2.3 hiervor), sich nach den im Vertrag explizit er- wähnten Tarif-Grundlagen zu erkundigen, wenn sie bzw. der von ihr beigezogene Experte diese tatsächlich nicht gekannt hätte. Schliess- lich ist auch nicht substanziiert, was mit dem "nicht allgemein gültigen Inhalt" gemeint ist.</w:t>
      </w:r>
    </w:p>
    <w:p>
      <w:r>
        <w:rPr>
          <w:b/>
        </w:rPr>
        <w:t>E. 5</w:t>
      </w:r>
    </w:p>
    <w:p>
      <w:r>
        <w:t>Entgegen der Vorinstanz ist somit die Frage, welches Deckungskapital die Beklagte für die Neurenten leisten muss, nicht aufgrund richterli- cher Lückenfüllung betreffend einen nicht vereinbarten Preis zu beant- worten, sondern aufgrund der Vertragsauslegung, entsprechend dem Vorgehen der Erstinstanz.</w:t>
      </w:r>
    </w:p>
    <w:p>
      <w:r>
        <w:rPr>
          <w:b/>
        </w:rPr>
        <w:t>E. 5.1</w:t>
      </w:r>
    </w:p>
    <w:p>
      <w:r>
        <w:t>Gemäss Art. 1 Abs. 1 des Kollektiv-Lebensversicherungsvertrages vereinbarten die Parteien, "den im Vorsorgereglement umschriebenen Personenkreis zu versichern" nach Massgabe unter anderem des Vorsor- gereglements. Das Vorsorgereglement gewährt eine lebenslängliche Altersrente. Gemäss Art. 13 Ziffer 2 Abs. 1 beträgt der "Umwandlungs- satz (versicherungstechnischer Wert zuzüglich Ergänzung aus Überschussan- teilen) z.Z. 7,2 %". Die Klägerin leitet daraus ab, dass auch die Beklagte an das Vorsorgereglement gebunden ist und daher jene Renten, die während der Vertragsdauer (zum Umwandlungssatz von 7,2 %) ent- standen sind, abzugelten hat. Die Berechnungsweise der Beklagten führe demgegenüber zu einer Kürzung von Verpflichtungen, die bereits unwiderruflich entstanden seien. Seite 15</w:t>
      </w:r>
    </w:p>
    <w:p>
      <w:r>
        <w:t>Es trifft zu, dass die Beklagte durch Art. 1 Abs. 1 des Kollektiv-Lebens- versicherungsvertrages an das Vorsorgereglement gebunden wurde. Sie war somit (gegenüber der Klägerin) verpflichtet, während der Vertragsdauer jene Leistungen zu erbringen, die seitens der Klägerin den Destinatären im Reglement versprochen worden waren. Diese Verpflichtung entfiel jedoch im Zeitpunkt der Vertragsauflösung, denn sie ergab sich einzig aus dem (hinfälligen) Versicherungsvertrag und nicht unmittelbar gestützt auf das Reglement. Nachdem die Beklagte nicht verpflichtet war, die während der Ver- tragsdauer entstandenen Rentenverhältnisse zu behalten und entspre- chende (unveränderliche) Renten (inkl. Überschussanteil) lebenslang zu leisten (vgl. E. 4.3 hiervor), kommt es einzig darauf an, welche Ab- findungsparameter im Vertrag für die Übernahme durch die Klägerin festgelegt sind.</w:t>
      </w:r>
    </w:p>
    <w:p>
      <w:r>
        <w:rPr>
          <w:b/>
        </w:rPr>
        <w:t>E. 5.2</w:t>
      </w:r>
    </w:p>
    <w:p>
      <w:r>
        <w:t>Gemäss Art. 7 Abs. 3 lit. b AVB entspricht der Rückerstattungs- wert dem Inventardeckungskapital. Art. 4 AVB definiert dieses wie folgt: "Das Inventardeckungskapital wird stets nach den technischen Grundla- gen bestimmt, nach denen die Prämien oder Einmaleinlagen der betreffenden Versicherung berechnet worden sind. Das Inventardeckungskapital für eine von der Risikoversicherung getrennt geführte Sparversicherung entspricht dem Altersguthaben bzw. dem Alterskapital". Die Vorinstanz führte dazu aus, es sei fraglich, ob aus dieser Bestim- mung abgeleitet werden könne, dass sich der Rückerstattungswert in jedem Fall nur auf Berechnungen abstützen lasse, die mit den techni- schen Grundlagen vereinbar seien. Die Frage könne allerdings offen gelassen werden. Es sei nämlich nicht zu übersehen, dass eine Rente, die durch Umwandlung eines Altersguthabens mit einem Umwand- lungssatz von 7,2 % ermittelt werde, in Übereinstimmung mit dem KT95 gebildet worden sei. Zwar werde in den Bestimmungen des KT95 darauf verwiesen, dass es bei der Verwendung des Umwand- lungssatzes von 7,2 % notwendig werde, einen Teil der Rente als sog. "Überschussrente" anzusehen (Ziff. 3.4.2.2.1). In Ziffer A.2.2 werde aber auch festgehalten, dass "der Umwandlungssatz nach den Grundlagen des KT95 mit den Zinssätzen ... bzw. ... genau dem BVG-Mindestumwand- lungssatz ... entspricht". Daher lasse sich aus den vertraglichen Regeln über die Berechnung des Rückerstattungswerts (Art. 7 und 4 AVB) nicht entnehmen, ob es zulässig oder erforderlich sei, den ganzen Rentenbetrag oder nur einen Teil zu berücksichtigen. Seite 16</w:t>
      </w:r>
    </w:p>
    <w:p>
      <w:r>
        <w:t>Dem ist nicht zu folgen. Vorerst spricht Art. 5 Abs. 2 AVB, wonach die Überschussberechtigung im Zeitpunkt der Vertragsauflösung endet, für die beklagtische Auslegung; ebenso, dass der Überschuss (Art. 5 AVB) und das Inventardeckungskapital (Art. 4 AVB) in zwei verschie- denen Bestimmungen geregelt sind. Entscheidend ist aber vor allem die Formulierung in Art. 4 AVB selbst. Der Begriff "technische Grundla- gen" hat im Versicherungsgeschäft eine bestimmte branchenspezi- fische Bedeutung und schliesst die Berücksichtigung von Überschuss- anteilen aus. Die Berechnung der Leistungen, der Beiträge sowie der Vorsorgeverpflichtungen erfolgt bei der Kollektivversicherung anhand von versicherungstechnischen Rechnungsgrundlagen. Elemente die- ser "versicherungstechnischen Grundlagen" sind die Wahrscheinlich- keitstafeln (Sterblichkeit, Invalidität, Verheiratung u.a.), der technische Zinsfuss und die Verwaltungskostensätze sowie die technischen Grundlagenelemente des BVG, nämlich biometrische Rechnungs- grundlagen, demographische Rechnungsgrundlagen und wirtschaft- liche Schätzungselemente. Es handelt sich somit um Soll-Kosten (CARL HELBLING, Personalvorsorge und BVG, 8. Aufl. 2006, S. 375 f.). Die Überschussanteile ergeben sich demgegenüber aus einer Ist-Betrach- tung. Im Wesentlichen handelt es sich um Zinsgewinn (Differenz zwi- schen der effektiv auf den Aktiven erzielten Nettoverzinsung und dem technischen Zinsfuss), um Verwaltungskostengewinn und um Risiko- gewinn (Differenz zwischen den nach Tarifgrundlagen erwarteten und den effektiv ausbezahlten Versicherungsleistungen (HELBLING, a.a.O., S. 167 f.). In diesem Sinn wird der Begriff denn auch im KT95 ver- wendet (vgl. Kapitel 10 i.V.m. A.3 Prämienberechnung). Selbst wenn man davon ausginge, Art. 4 AVB sei für sich allein betrachtet nicht genügend klar (so wohl Urteil des Bundesgerichts 9C_128/2011 vom 16. November 2011 E. 5.2), ergibt sich jedenfalls durch die Präzi- sierung aufgrund des KT95, dass bei der Berechnung des Deckungs- kapitals die Überschüsse nicht zu berücksichtigen sind. Die von der Vorinstanz zitierte Formulierung in Ziff. A.2.2 des KT95, dass "der Um- wandlungssatz nach den Grundlagen des KT95 mit den Zinssätzen ... bzw. ... genau dem BVG-Mindestumwandlungssatz ... entspricht" hat damit nichts zu tun. Massgeblich sind nach Art. 4 AVB und der damit übereinstim- menden Grundregel in Ziff. 23.1 des KT95 die technischen Grundla- gen, "nach denen die Prämien ... berechnet worden sind". Der Umwand- lungssatz betrifft nicht die Prämienberechnung. Es ist unbestritten, dass im Hinblick auf die Leistungen durch Berücksichtigung von Über- schüssen ein höherer Umwandlungssatz erreicht werden konnte als es allein aufgrund der nach den technischen Grundlagen berechneten Prämien der Fall gewesen wäre, wie sich auch aus Ziff. 3.4.2.2.1 und Seite 17</w:t>
      </w:r>
    </w:p>
    <w:p>
      <w:r>
        <w:rPr>
          <w:b/>
        </w:rPr>
        <w:t>E. 5.3</w:t>
      </w:r>
    </w:p>
    <w:p>
      <w:r>
        <w:t>Zusammenfassend ist die Beschwerde der Beklagten somit gutzu- heissen. Beschwerde der Klägerin (4A_571/2012)</w:t>
      </w:r>
    </w:p>
    <w:p>
      <w:r>
        <w:rPr>
          <w:b/>
        </w:rPr>
        <w:t>E. 6</w:t>
      </w:r>
    </w:p>
    <w:p>
      <w:r>
        <w:t>Die Klägerin ficht die Berechnung des Deckungskapitals für die Altren- ten an, wie sie von Erst- und Vorinstanz vorgenommen wurde. Umstrit- ten ist der Barwertfaktor. Nach dem Vorgehen der Beklagten wurde bei den Altrenten das Deckungskapital in Anwendung derjenigen Tari- fe berechnet (KT70 bzw. KT80 bzw. KT95), die für die verschiedenen Lohnbestandteile galten. Die Klägerin will lediglich den KT95 anwen- den.</w:t>
      </w:r>
    </w:p>
    <w:p>
      <w:r>
        <w:rPr>
          <w:b/>
        </w:rPr>
        <w:t>E. 6.1</w:t>
      </w:r>
    </w:p>
    <w:p>
      <w:r>
        <w:t>Das Deckungskapital und damit der Rückerstattungswert berech- net sich gemäss Art. 4 ABV nach den Tarifen, nach denen die Prämien bestimmt wurden. Betreffend Änderungen der Tarife bestimmt Art. 13 AVB, dass bei einer Änderung von dem Versicherungsvertrag zugrun- de liegenden einjährigen Tarifen, für die betroffenen Versicherungen die geänderten Grundlagen gelten (Abs. 1). Bei einer Änderung von dem Versicherungsvertrag zugrunde liegenden mehrjährigen Tarifen werden alle später hinzukommenden Leistungen oder Leistungser- höhungen nach den geänderten Grundlagen abgeschlossen (Abs. 2). Vorinstanz und Erstinstanz gingen gestützt auf diese Regelungen zu Recht davon aus, dass nicht der letzte Tarif KT95, sondern die im je- Seite 18</w:t>
      </w:r>
    </w:p>
    <w:p>
      <w:r>
        <w:t>weiligen Zeitpunkt massgeblichen Tarife entsprechend der Berech- nungsweise der Beklagten zu Anwendung gelangen.</w:t>
      </w:r>
    </w:p>
    <w:p>
      <w:r>
        <w:rPr>
          <w:b/>
        </w:rPr>
        <w:t>E. 6.2</w:t>
      </w:r>
    </w:p>
    <w:p>
      <w:r>
        <w:t>Soweit die Klägerin argumentiert, Art. 4 AVB erfasse nicht die Ab- geltung laufender Rentenleistungen, wird auf die vorstehenden Aus- führungen (E. 4.3) verwiesen. Die Klägerin macht sodann geltend, die Vorinstanz verletze namentlich Art. 4 ZGB in Verbindung mit Art. 18 OR, indem sie einerseits (im Hin- blick auf die Neurenten) annehme, der Vertrag regle die Übernahme der Renten nicht, enthalte also eine Lücke, dann jedoch hinsichtlich der Altrenten trotzdem den Vertrag anwende. Ausserdem ergebe sich aus dieser unterschiedlichen Behandlung von Neu- und Altrenten eine Verletzung des Gleichbehandlungsgrundsatzes (Art. 8 BV). Die Unter- scheidung sei zudem willkürlich (Art. 9 BV), weil die kantonalen Vorinstanzen innerhalb der Gruppe der Rentenverpflichtungen, näm- lich zwischen Alt- und Neurenten, eine unsachgemässe Unterschei- dung (nach dem Primat des Sparprozesses) getroffen hätten. Erst diese unsachgemässe Unterscheidung habe dazu geführt, dass die (ebenfalls unsachgemässe) Regelung nach Art. 7 i.V.m. Art. 4 AVB überhaupt zur Anwendung gelangt sei, während die Vorinstanz bei den Neurenten (im Ergebnis zu Recht) eine von Art. 7 i.V.m. Art. 4 AVB abweichende Regelung angewendet habe. Auf die diesbezüg- lichen Rügen braucht indessen, soweit sie überhaupt hinreichend begründet sind, nicht im Einzelnen eingegangen zu werden, da sie ins- gesamt darauf beruhen, dass die Vorinstanz hinsichtlich der Neuren- ten der Auffassung war, diese würden vom Vertrag nicht erfasst, wäh- rend sie Art. 7 i.V.m. Art. 4 AVB auf die Altrenten anwandte. Nachdem, wie dargelegt, der Kollektiv-Lebensversicherungsvertrag auch die Rentenverhältnisse erfasst und der Rückerstattungswert für die Neu- renten ebenfalls gestützt auf den Kollektiv-Lebensversicherungsver- trag zu ermitteln ist, wird die Rüge, es werde in Verletzung des Gleich- behandlungsgrundsatzes willkürlich zwischen Alt- und Neurenten un- terschieden gegenstandslos. Demzufolge ist die Beschwerde der Klä- gerin abzuweisen, soweit darauf einzutreten ist.</w:t>
      </w:r>
    </w:p>
    <w:p>
      <w:r>
        <w:rPr>
          <w:b/>
        </w:rPr>
        <w:t>E. 7</w:t>
      </w:r>
    </w:p>
    <w:p>
      <w:r>
        <w:t>Damit ist in Gutheissung der Beschwerde der Beklagten die Klage abzuweisen. Dem Ausgang des Verfahrens entsprechend wird die Klä- gerin kosten- und entschädigungspflichtig (Art. 66 Abs. 1 sowie Art. 68 Abs. 2 BGG). Die Sache ist an die Vorinstanz zurückzuweisen zu neuer Entscheidung über die Kosten- und Entschädigungsfolgen der Appellation (Dispositiv Abs. 4). Bezüglich der Anschlussappellation Seite 19</w:t>
      </w:r>
    </w:p>
    <w:p>
      <w:r>
        <w:t>(Dispositiv Abs. 2 und 5) beleibt es beim angefochtenen Entscheid. Die Vorinstanz wird schliesslich die Kosten- und Entschädigungsfolgen des erstinstanzlichen Verfahrens zu regeln haben.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