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20130205_d_ch_b_01 vom 5. Februar 2013</w:t>
      </w:r>
    </w:p>
    <w:p>
      <w:r>
        <w:t>FINMA Versicherungsrecht, 2013-02-05, DE</w:t>
      </w:r>
    </w:p>
    <w:p>
      <w:r>
        <w:rPr>
          <w:b/>
        </w:rPr>
        <w:t xml:space="preserve">Quelle: </w:t>
      </w:r>
      <w:r>
        <w:t>https://mcp.opencaselaw.ch/entscheid/finma_versicherungsrecht_20130205_d_ch_b_01</w:t>
      </w:r>
    </w:p>
    <w:p>
      <w:r>
        <w:t>FR: FINMA_VERSICHERUNGSRECHT 20130205_d_ch_b_01 du 5 février 2013</w:t>
      </w:r>
    </w:p>
    <w:p>
      <w:r>
        <w:t>IT: FINMA_VERSICHERUNGSRECHT 20130205_d_ch_b_01 del 5 febbraio 2013</w:t>
      </w:r>
    </w:p>
    <w:p>
      <w:pPr>
        <w:pStyle w:val="Heading2"/>
      </w:pPr>
      <w:r>
        <w:t>Erwägungen</w:t>
      </w:r>
    </w:p>
    <w:p>
      <w:r>
        <w:rPr>
          <w:b/>
        </w:rPr>
        <w:t>E. 1</w:t>
      </w:r>
    </w:p>
    <w:p>
      <w:r>
        <w:t>Die Beschwerde richtet sich gegen einen verfahrensabschliessenden Entscheid (Art. 90 BGG) einer oberen kantonalen Instanz, die auf ein Rechtsmittel hin kantonal letztinstanzlich in einer Zivilsache entschie- den hat (Art. 75 i.V.m. Art. 72 BGG), die Rechtsbegehren der Be- schwerdeführerin sind im kantonalen Verfahren nicht geschützt wor- den (Art. 76 Abs. 1 BGG), der massgebende Streitwert beträgt mehr als Fr. 30'000.-- (Art. 51 i.V.m. Art. 74 Abs. 1 lit. b BGG) und die Be- schwerdefrist ist eingehalten (Art. 100 Abs. 1 i.V.m. Art. 46 Abs. 1 lit. b BGG). Auf die Beschwerde ist somit unter Vorbehalt einer rechtsgenü- genden Begründung (Art. 42 Abs. 2 i.V.m. Art. 106 Abs. 2 BGG) einzu- treten.</w:t>
      </w:r>
    </w:p>
    <w:p>
      <w:r>
        <w:rPr>
          <w:b/>
        </w:rPr>
        <w:t>E. 2</w:t>
      </w:r>
    </w:p>
    <w:p>
      <w:r>
        <w:t>Die Beschwerdeführerin beantragt die Durchführung einer mündlichen Parteiverhandlung (Art. 57 BGG). Vor Bundesgericht findet eine Par- teiverhandlung nur ausnahmsweise statt (vgl. Urteil 4A_39/2011 vom 8. August 2011 E. 4). Gründe dafür, dass vorliegend eine solche durchzuführen wäre, sind nicht ersichtlich. Die Sache kann ohne wei- teres aufgrund der Akten entschieden werden. Die Anordnung einer öffentlichen mündlichen Parteiverhandlung (Art. 57 BGG) ist somit nicht angezeigt, weshalb der entsprechende Antrag abzuweisen ist.</w:t>
      </w:r>
    </w:p>
    <w:p>
      <w:r>
        <w:rPr>
          <w:b/>
        </w:rPr>
        <w:t>E. 3</w:t>
      </w:r>
    </w:p>
    <w:p>
      <w:r>
        <w:t>Neue Tatsachen und Beweismittel dürfen nur soweit vorgebracht wer- den, als der Entscheid der Vorinstanz dazu Anlass gibt (Art. 99 Abs. 1 BGG). Die Beschwerdeführerin reicht neue Beweismittel mit der Be- gründung ein, ihr Vertreter habe deren Einreichung im erstinstanz- lichen Verfahren unterlassen, was nicht ihr anzulasten sei. Die Be- schwerdeführerin behauptet somit nicht einmal, erst der vorinstanz- liche Entscheid habe Anlass zur Einreichung dieser Beweismittel ge- geben. Diese müssen daher im bundesgerichtlichen Verfahren unbe- rücksichtigt bleiben. Seite 3</w:t>
      </w:r>
    </w:p>
    <w:p>
      <w:r>
        <w:rPr>
          <w:b/>
        </w:rPr>
        <w:t>E. 4</w:t>
      </w:r>
    </w:p>
    <w:p>
      <w:r>
        <w:t>Die Beschwerdeführerin rügt, die Vorinstanz habe zu Unrecht als nicht bewiesen erachtet, dass der Porsche Cayenne S gestohlen worden sei. Die von der Beschwerdegegnerin zum Gegenbeweis vorgebrach- ten Behauptungen träfen nicht zu.</w:t>
      </w:r>
    </w:p>
    <w:p>
      <w:r>
        <w:rPr>
          <w:b/>
        </w:rPr>
        <w:t>E. 4.1</w:t>
      </w:r>
    </w:p>
    <w:p>
      <w:r>
        <w:t>Das Bundesgericht legt seinem Urteil den Sachverhalt zugrunde, den die Vorinstanz festgestellt hat (Art. 105 Abs. 1 BGG). Es kann die Sachverhaltsfeststellung der Vorinstanz nur berichtigen oder ergän- zen, wenn sie offensichtlich unrichtig ist oder auf einer Rechtsver- letzung im Sinne von Art. 95 BGG beruht (Art. 105 Abs. 2 BGG). "Of- fensichtlich unrichtig" bedeutet dabei "willkürlich" (BGE 133 II 249 E. 1.2.2). Überdies muss die Behebung des Mangels für den Ausgang des Verfahrens entscheidend sein (Art. 97 Abs. 1 BGG). Die be- schwerdeführende Partei, welche die Sachverhaltsfeststellungen der Vorinstanz anfechten will, muss klar und substanziiert aufzeigen, in- wiefern die gerügten Feststellungen bzw. die Unterlassung von Fest- 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die beschwerdeführende Partei hat da- her darzulegen, inwiefern das kantonale Gericht sein Ermessen miss- braucht, insbesondere offensichtlich unhaltbare Schlüsse gezogen, er- hebliche Beweise übersehen oder willkürlich ausser Acht gelassen ha- be (vgl. BGE 132 III 209 E. 2.1; 129 I 8 E. 2.1; 120 Ia 31 E. 4b S. 40; 118 Ia 28 E. 1b S. 30). Auf eine Kritik an den tatsächlichen Fest- stellungen der Vorinstanz, die diesen Anforderungen nicht genügt, na- mentlich auf bloss appellatorische Vorbringen, ist nicht einzutreten (BGE 133 II 249 E. 1.4.3, 396 E. 3.1 S. 399).</w:t>
      </w:r>
    </w:p>
    <w:p>
      <w:r>
        <w:rPr>
          <w:b/>
        </w:rPr>
        <w:t>E. 4.2</w:t>
      </w:r>
    </w:p>
    <w:p>
      <w:r>
        <w:t>Die Vorinstanz hat ausgeführt, es seien vorliegend verschiedene Umstände in ihrer Gesamtheit geeignet, die Glaubwürdigkeit der Be- schwerdeführerin zu erschüttern und an ihrer Sachdarstellung erheb- liche Zweifel zu wecken. Dazu gehöre die Tatsache, dass die Be- schwerdeführerin den Porsche in einer Entfernung von rund 400 m von ihrem Einfamilienhaus am Fahrbandrand der Strasse B.________ abgestellt habe, obwohl sich beim Einfamilienhaus eine abschliess- bare Garage befinde. Weiter habe die Beschwerdeführerin in ihrer Anzeige vom 13. Juli 2006 keinen Tatverdacht geäussert, am 14. und 17. Juli 2006 aber verschiedene Beobachtungen gemeldet, die sie in Seite 4</w:t>
      </w:r>
    </w:p>
    <w:p>
      <w:r>
        <w:t>der Nacht vor dem Diebstahl und danach auf ihrem Grundstück ge- macht habe. Unterschiedliche bzw. widersprüchliche Angaben habe die Beschwerdeführerin zudem zum Zeitpunkt gemacht, zu welchem sie den Porsche an der Strasse parkiert habe. Als Autokennzeichen habe sie in der Anzeige LU vwyyzx.________ angegeben, was mit der Motorfahrzeugversicherungspolice übereinstimme. Der Porsche habe aber das Kennzeichen LU vwyyxx.________ gehabt. Hinzu komme weiter, dass die Beschwerdeführerin bei einer Befragung angegeben habe, im Porsche habe sich ihr Mobiltelefon Motorola V550 in eingeschaltetem Zustand befunden. Einer anderen Versicherung habe die Beschwerdeführerin aber gleichentags ein Mobiltelefon Motorola ZRV3 als gestohlen gemeldet. Aufgrund der ermittelten Verbin- dungsdaten stehe fest, dass die Beschwerdeführerin unter Verwen- dung einer neuen SIM-Karte verschiedentlich mit ihrem angeblich ab- handen gekommenen Motorola V550 telefoniert und auch ein auf ihren Arbeitgeber eingelöstes Mobiltelefon Motorola ZRV3 benützt habe. Schliesslich könnten finanzielle Schwierigkeiten und die Häufung von Schadenfällen als Anhaltspunkte gegen die Glaubwürdigkeit der Versicherungsnehmerin und deren Sachdarstellung sprechen. Gegen die Beschwerdeführerin seien im Frühling/Sommer 2006 zwei Betreibungen über insgesamt Fr. 961'842.95 eingeleitet und in den Jahren 2001 und 2002 sei bereits dreimal jeweils ein Auto der Marke BMW X5 als gestohlen gemeldet worden, das dem Unternehmen des Ehemanns der Beschwerdeführerin gehört habe.</w:t>
      </w:r>
    </w:p>
    <w:p>
      <w:r>
        <w:rPr>
          <w:b/>
        </w:rPr>
        <w:t>E. 4.3</w:t>
      </w:r>
    </w:p>
    <w:p>
      <w:r>
        <w:t>Dagegen bringt die Beschwerdeführerin vor, sie habe gar kein wirtschaftliches Interesse an einem Versicherungsbetrug. Die Leasing- gesellschaft habe ihr zwar sämtliche Ansprüche aus dem Versiche- rungsvertrag abgetreten, sie habe aber die Leasingraten für den Por- sche unabhängig von der Gebrauchsmöglichkeit weiter bezahlen müs- sen. Der Diebstahl sei nicht eigenartig, sondern knüpfe an eine ganze Reihe weiterer Autodiebstähle an. Da aus der Garage bei ihrem Einfa- milienhaus bereits einmal ein Luxusauto gestohlen worden sei, habe sie das Auto bewusst an einer stark befahrenen Strasse abgestellt. Weshalb die Beschwerdeführerin der Polizei ein falsches Kennzeichen angegeben habe, sei nicht relevant. Im Übrigen sei auch möglich, dass die Polizei selbst in der Anzeige einen Fehler gemacht habe. Was das Mobiltelefon angehe, so habe sie sich zuerst ein Motorola V550 gekauft, später aber ihre SIM-Karte in das (früher von ihrem Ehemann benutzte) Motorola ZRV3 getan, weil ihr das V550 zu klobig erschienen sei. Ihr Ehemann habe dies nicht gewusst und habe daher, als die Polizei ihn telefonisch um Angaben zum gestohlenen Gerät er- sucht habe, fälschlicherweise das V550 genannt. Im Allgemeinen habe Seite 5</w:t>
      </w:r>
    </w:p>
    <w:p>
      <w:r>
        <w:t>sie den Sachverhalt immer gleich geschildert und ihn nur, wenn über- haupt, in unwesentlichen Punkten ergänzt bzw. korrigiert. Schliesslich sei die Herbeiziehung von Betreibungsregisterauszügen vor dem Hin- tergrund der fehlenden Bereicherungsmöglichkeit kein geeignetes Mit- tel zur Führung des Gegenbeweises.</w:t>
      </w:r>
    </w:p>
    <w:p>
      <w:r>
        <w:rPr>
          <w:b/>
        </w:rPr>
        <w:t>E. 4.4</w:t>
      </w:r>
    </w:p>
    <w:p>
      <w:r>
        <w:t>Es kann offen bleiben, ob die Beschwerdeführerin mit diesen Aus- führungen überhaupt den Begründungsanforderungen genügt, da die Rüge ohnehin unbegründet ist. Die Beschwerdeführerin macht gel- tend, sie könnte sich mit einem Versicherungsbetrug gar nicht berei- chern. Es trifft zwar zu, dass dem eingeklagten Betrag die bezahlten Leasingraten gegenüber stehen. Die Beschwerdeführerin verkennt aber, dass bei behauptetem Diebstahl der Versicherungsnehmer im Fall eines Versicherungsbetrugs zusätzlich nach wie vor im Besitz des versicherten Objekts ist, wenn auch möglicherweise mit beschränkter Nutzungsmöglichkeit. Es spricht weiter jedenfalls nicht für die Be- schwerdeführerin, dass sie den Porsche mit der Begründung, aus der verschlossenen Garage sei bereits einmal ein Luxusauto gestohlen worden, an einem Ort parkierte, der mangels Schliessvorrichtung noch weniger gesichert war. Die Darstellung der Beschwerdeführerin be- treffend die Mobiltelefone erklärt zudem nicht, weshalb sie gleichen- tags einer anderen Versicherung ein anderes Gerät als gestohlen ge- meldet hat. Gegen die vorinstanzlichen Ausführungen zu den unter- schiedlichen bzw. widersprüchlichen Aussagen betreffend den Tatver- dacht und den Zeitpunkt, zu welchem sie den Porsche parkiert hatte, bringt die Beschwerdeführerin nichts vor. Werden schliesslich die Be- treibungen über hohe Beträge und die Häufung von Schadenfällen be- rücksichtigt, so durfte die Vorinstanz ohne in Willkür zu verfallen fest- stellen, insgesamt bestünden erhebliche Zweifel an der Darstellung der Beschwerdeführerin und es sei nicht erwiesen, dass der Porsche gestohlen worden sei. Die Rüge erweist sich damit als unbegründet, soweit überhaupt darauf einzutreten ist. Dementsprechend erübrigt es sich, die von der Beschwerdegegnerin erhobene Einrede der Verjäh- rung zu prüfen.</w:t>
      </w:r>
    </w:p>
    <w:p>
      <w:r>
        <w:rPr>
          <w:b/>
        </w:rPr>
        <w:t>E. 5</w:t>
      </w:r>
    </w:p>
    <w:p>
      <w:r>
        <w:t>Nach dem Gesagten ist die Beschwerde abzuweisen, soweit darauf einzutreten ist. Bei diesem Verfahrensausgang wird die Beschwerde- führerin kosten- und entschädigungspflichtig (Art. 66 Abs. 1 sowie Art. 68 Abs. 2 BGG).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