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20120402_d_ch_b_01 vom 2. April 2012</w:t>
      </w:r>
    </w:p>
    <w:p>
      <w:r>
        <w:t>FINMA Versicherungsrecht, 2012-04-02, DE</w:t>
      </w:r>
    </w:p>
    <w:p>
      <w:r>
        <w:rPr>
          <w:b/>
        </w:rPr>
        <w:t xml:space="preserve">Quelle: </w:t>
      </w:r>
      <w:r>
        <w:t>https://mcp.opencaselaw.ch/entscheid/finma_versicherungsrecht_20120402_d_ch_b_01</w:t>
      </w:r>
    </w:p>
    <w:p>
      <w:r>
        <w:t>FR: FINMA_VERSICHERUNGSRECHT 20120402_d_ch_b_01 du 2 avril 2012</w:t>
      </w:r>
    </w:p>
    <w:p>
      <w:r>
        <w:t>IT: FINMA_VERSICHERUNGSRECHT 20120402_d_ch_b_01 del 2 aprile 2012</w:t>
      </w:r>
    </w:p>
    <w:p>
      <w:pPr>
        <w:pStyle w:val="Heading2"/>
      </w:pPr>
      <w:r>
        <w:t>Erwägungen</w:t>
      </w:r>
    </w:p>
    <w:p>
      <w:r>
        <w:rPr>
          <w:b/>
        </w:rPr>
        <w:t>E. 1</w:t>
      </w:r>
    </w:p>
    <w:p>
      <w:r>
        <w:t>Januar 2011 in Kraft getretenen Schweizerischen Zivilprozessord- nung vom 19. Dezember 2008 (Zivilprozessordnung, ZPO; SR 272) für Streitigkeiten aus Zusatzversicherungen zur sozialen Krankenversi- cherung ein Gericht bezeichnen können, das als einzige kantonale In- stanz zuständig ist (in diesem Sinne nunmehr § 54 Abs. 1 lit. d des Gesetzes über die Verfassungs- und Verwaltungsprozessordnung des Kantons Basel-Landschaft vom 16. Dezember 1993 [Verwaltungspro- zessordnung, VPO; SGS 271). Gleichzeitig wurde Art. 75 Abs. 2 lit. a BGG dahingehend geändert, dass als Ausnahme vom Grundsatz des doppelten Instanzenzuges eine einzige kantonale Instanz nicht mehr von einem Bundesgesetz vorgeschrieben sein muss, sondern dass es genügt, wenn ein Bundesgesetz eine solche vorsieht (BGE Seite 3</w:t>
      </w:r>
    </w:p>
    <w:p>
      <w:r>
        <w:t>4A_416/2011 vom 30. Januar 2012 E. 1). Da die übrigen Eintretenser- fordernisse ebenfalls zu bejahen sind – die Frist gemäss Art. 100 Abs. 1 BGG wurde gewahrt und die Rechtsvorkehr richtet sich gegen einen Endentscheid im Sinne von Art. 90 BGG –, erweist sich die Be- schwerde als zulässig.</w:t>
      </w:r>
    </w:p>
    <w:p>
      <w:r>
        <w:rPr>
          <w:b/>
        </w:rPr>
        <w:t>E. 1.1</w:t>
      </w:r>
    </w:p>
    <w:p>
      <w:r>
        <w:t>Zu beurteilen ist die Leistungspflicht aus einer Zusatzversicherung zur sozialen Krankenversicherung. Derartige Zusatzversicherungen unterstehen gemäss Art. 12 Abs. 2 und 3 des Bundesgesetzes vom 18. März 1994 über die Krankenversicherung (KVG; SR 832.10) dem Versicherungsvertragsgesetz vom 2. April 1908 (VVG; SR 221.229.1). Streitigkeiten aus solchen Versicherungen sind privatrechtlicher Natur, weshalb als Rechtsmittel an das Bundesgericht die Beschwerde in Zi- vilsachen gemäss Art. 72 ff. BGG in Betracht kommt (BGE 133 III 439 E. 2.1 S. 441 f. mit Hinweis).</w:t>
      </w:r>
    </w:p>
    <w:p>
      <w:r>
        <w:rPr>
          <w:b/>
        </w:rPr>
        <w:t>E. 1.2</w:t>
      </w:r>
    </w:p>
    <w:p>
      <w:r>
        <w:t>Der angefochtene Entscheid wurde am 12. Mai 2011 vom Kan- tonsgericht Basel-Landschaft gefällt. Dieses entscheidet gemäss kan- tonalem Recht als einzige kantonale Instanz. Es nimmt zwar von der Einbettung in die basellandschaftliche Gerichtsorganisation her die Stellung eines oberen Gerichts ein (§ 82 Abs. 3, § 83 Abs. 1 lit. c und § 87 der Verfassung des Kantons Basel-Landschaft vom 17. Mai 1984; SR 131.222.2), fungiert aber im vorliegenden Fall nicht als Rechtsmit- telinstanz im Sinne von Art. 75 Abs. 2 (Satz 1 und 2 Teilsatz 1) BGG. Dies schadet indessen nicht, da die Kantone gemäss Art. 7 der auf</w:t>
      </w:r>
    </w:p>
    <w:p>
      <w:r>
        <w:rPr>
          <w:b/>
        </w:rPr>
        <w:t>E. 2.1</w:t>
      </w:r>
    </w:p>
    <w:p>
      <w:r>
        <w:t>Die Beschwerde in Zivilsachen kann wegen Rechtsverletzung ge- mäss Art. 95 f. BGG erhoben werden. Das Bundesgericht wendet das Recht von Amtes wegen an (Art. 106 Abs. 1 BGG). Es ist folglich we- 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(BGE 133 II 249 E. 1.4.1 S. 254 mit Hinweisen). Immerhin prüft das Bundesgericht, unter Berücksichti- gung der allgemeinen Begründungspflicht der Beschwerde (Art. 42 Abs. 1 und 2 BGG), grundsätzlich nur die geltend gemachten Rügen, sofern die rechtlichen Mängel nicht geradezu offensichtlich sind. Es ist jedenfalls nicht gehalten, wie eine erstinstanzliche Behörde alle sich stellenden rechtlichen Fragen zu untersuchen, wenn diese vor Bun- desgericht nicht mehr vorgetragen werden (BGE 133 II 249 E. 1.4.1 S. 254 mit Hinweisen).</w:t>
      </w:r>
    </w:p>
    <w:p>
      <w:r>
        <w:rPr>
          <w:b/>
        </w:rPr>
        <w:t>E. 2.2</w:t>
      </w:r>
    </w:p>
    <w:p>
      <w:r>
        <w:t>Das Bundesgericht legt seinem Urteil den Sachverhalt zugrunde, den die kantonale Instanz festgestellt hat (Art. 105 Abs. 1 BGG). Die Feststellung des Sachverhalts kann nur gerügt werden, wenn sie of- fensichtlich unrichtig, d.h. willkürlich ist oder auf einer Rechtsverlet- zung im Sinne von Art. 95 BGG beruht (Art. 105 Abs. 2 BGG) und wenn die Behebung des Mangels für den Ausgang des Verfahrens entscheidend sein kann (Art. 97 Abs. 1 BGG; BGE 133 II 249 E. 1.2.2 S. 252).</w:t>
      </w:r>
    </w:p>
    <w:p>
      <w:r>
        <w:rPr>
          <w:b/>
        </w:rPr>
        <w:t>E. 3</w:t>
      </w:r>
    </w:p>
    <w:p>
      <w:r>
        <w:t>Aufl. 1995, FN 486; vgl. auch E. 4.2 hiernach).</w:t>
      </w:r>
    </w:p>
    <w:p>
      <w:r>
        <w:rPr>
          <w:b/>
        </w:rPr>
        <w:t>E. 3.1</w:t>
      </w:r>
    </w:p>
    <w:p>
      <w:r>
        <w:t>Nach den unbestritten gebliebenen – und daher für das Bundes- gericht verbindlichen (E. 2.1 hievor) – Erwägungen im angefochtenen Entscheid hat der Beschwerdegegner es verschuldetermassen ver- säumt, die ihm anfangs Juni 2006 zugestellte und mit Schreiben der Seite 4</w:t>
      </w:r>
    </w:p>
    <w:p>
      <w:r>
        <w:t>Beschwerdeführerin vom 4. September 2006 rechtswirksam gemahnte Prämienrechnung für die Periode vom 1. Juli bis 31. Dezember 2006 fristgerecht nach Art. 20 Abs. 1 VVG, d.h. innert 14 Tagen bis 18. Sep- tember 2006, zu begleichen. Da die entsprechende Bezahlung erst am 29. Mai 2007 erfolgte, hat die Leistungspflicht der Beschwerdeführerin für die Zeit ab 19. September 2006 geruht (Art. 20 Abs. 3 VVG) und der Versicherungsvertrag kraft der in Art. 21 Abs. 1 VVG verankerten Rücktrittsvermutung (bzw. -fiktion; BGE 4A_116/2011 vom 30. Januar 2012 E. 5.1 in fine mit Hinweisen) nach Ablauf der Zweimonatsfrist seit Ruhen der Versicherungsdeckung am 19. November 2006 (ex nunc) geendet. Indem diese Bestimmung einen Rücktritt des Versicherers fingiert, lässt sie den Vertrag von Gesetzes wegen erlöschen. Auch der Versicherer ist alsdann nicht mehr gebunden (BGE 66 II 279 E. 4 S. 283 f.; ALFRED MAURER, Schweizerisches Privatversicherungsrecht,</w:t>
      </w:r>
    </w:p>
    <w:p>
      <w:r>
        <w:rPr>
          <w:b/>
        </w:rPr>
        <w:t>E. 3.2</w:t>
      </w:r>
    </w:p>
    <w:p>
      <w:r>
        <w:t>Sollte der Beschwerdegegner mit dem in seiner Vernehmlassung vorgebrachten Einwand, seine Krankheit habe "unbestrittenermassen" bereits seit Sommer 2006 bestanden, (implizit) – über den Antrag auf Beschwerdeabweisung hinausgehend – um Zusprechung weiterer Taggelder auch für die Zeit vor dem 29. Mai 2007 ersuchen, könnte darauf nicht eingetreten werden. Das BGG kennt im Unterschied zum OG die Anschlussbeschwerde nicht (Art. 90 ff. BGG; BGE 134 III 332 E. 2.5 S. 335) und die Frist gemäss Art. 100 Abs. 1 BGG für eine selbstständige Beschwerde war im Zeitpunkt der Eingabe an das Bun- desgericht bereits abgelaufen.</w:t>
      </w:r>
    </w:p>
    <w:p>
      <w:r>
        <w:rPr>
          <w:b/>
        </w:rPr>
        <w:t>E. 4.1</w:t>
      </w:r>
    </w:p>
    <w:p>
      <w:r>
        <w:t>Das kantonale Gericht hat die Leistungspflicht der Beschwerde- führerin für die ab 29. Mai 2007 ärztlich bescheinigten Arbeitsunfähig- keiten des Beschwerdegegners mit dem Argument bejaht, der Versi- cherer habe die ihm am 29. Mai 2007 durch den Beschwerdegegner nachträglich angebotene Bezahlung der noch ausstehenden Prämie angenommen, womit der Versicherungsschutz ab diesem Zeitpunkt pro futuro wieder bestanden habe. Die Beschwerdeführerin hält dem im Wesentlichen entgegen, die auf die psychischen Probleme des Beschwerdegegners zurückzuführende Arbeitsunfähigkeit sei nach den zutreffenden Feststellungen der Vorin- stanz erstmals während der vom 19. September 2006 bis 28. Mai 2007 gegebenen Deckungslücke aufgetreten. Indem im angefochtenen Ent- scheid Taggeldleistungen für die Zeit nach Wegfall der Deckungslücke zugesprochen worden seien, werde das in Art. 9 VVG festgehaltene – Seite 5</w:t>
      </w:r>
    </w:p>
    <w:p>
      <w:r>
        <w:t>auch für die vorstehend zu beurteilende Konstellation anwendbare – Verbot der Rückwärtsversicherung verletzt. Danach sei eine Leis- tungspflicht für Versicherungsfälle, welche im Zeitpunkt des Abschlus- ses der Versicherung bereits eingetreten seien, in casu also während der bis 28. Mai 2007 vorhandenen Deckungslücke, ausgeschlossen.</w:t>
      </w:r>
    </w:p>
    <w:p>
      <w:r>
        <w:rPr>
          <w:b/>
        </w:rPr>
        <w:t>E. 4.2</w:t>
      </w:r>
    </w:p>
    <w:p>
      <w:r>
        <w:t>Unbestrittenermassen hat die Beschwerdeführerin, nachdem der Vertrag infolge der in Art. 21 Abs. 1 VVG stipulierten Rücktrittsvermu- tung per 19. September 2006 dahingefallen ist, die rückständige Prä- mie am 29. Mai 2007 vorbehaltlos entgegengenommen (vgl. Be- schwerde, S. 6).</w:t>
      </w:r>
    </w:p>
    <w:p>
      <w:r>
        <w:rPr>
          <w:b/>
        </w:rPr>
        <w:t>E. 4.2.1</w:t>
      </w:r>
    </w:p>
    <w:p>
      <w:r>
        <w:t>Gemäss Art. 21 Abs. 2 VVG, welcher das Vertragsverhältnis nach eingetretenem Verzug regelt, lebt die Haftung des Versicherers, wenn er die Prämie einfordert oder nachträglich annimmt, mit dem Zeitpunkt wieder auf, in dem die rückständige Prämie samt Zinsen und Kosten bezahlt wird. Da sich diese Bestimmung – von ihrem systema- tischen und teleologischen Bedeutungsgehalt her – auf Abs. 1 bezieht, hat das darin vorgesehene Wiederaufleben der Haftung normunmittel- bar nur für den Fall zu gelten, dass der Versicherer die Prämie im Zeit- raum der zweimonatigen Ruhephase der Leistungspflicht nach Ablauf der 14-tägigen Mahnfrist akzeptiert hat (vgl. auch ANDREA KIEFER, Prä- mienzahlungsverzug nach VVG, 2000, S. 98 ff.). Vorliegend wurde die ausstehende Prämie jedoch erst geraume Zeit nach Dahinfallen des Versicherungsverhältnisses entgegengenommen. Diese Sachlage führt nach Lehre und Rechtsprechung grundsätzlich zur Annahme, dass ein neuer Vertrag auf der Basis der bisherigen Versicherungsbe- dingungen zustande gekommen ist, die ursprüngliche Vereinbarung al- so gleichsam – mit Wirkung pro futuro – wiederhergestellt wurde (übereinstimmend: MAURER, a.a.O., S. 296; ROELLI/KELLER, Kommentar zum Schweizerischen Bundesgesetz über den Versicherungsvertrag vom 2. April 1908, Bd. I, 1968, S. 364 oben; FRANZ HASENBÖHLER, in: Basler Kommentar, Bundesgesetz über den Versicherungsvertrag, 2001, N. 12 f. und 32 zu Art. 21 VVG; ferner BGE 66 II 279 E. 4 S. 284 in fine).</w:t>
      </w:r>
    </w:p>
    <w:p>
      <w:r>
        <w:rPr>
          <w:b/>
        </w:rPr>
        <w:t>E. 4.2.2</w:t>
      </w:r>
    </w:p>
    <w:p>
      <w:r>
        <w:t>Der Versicherungsvertrag ist, vorbehältlich der hier nicht ein- schlägigen Ausnahme nach Art. 100 Abs. 2 VVG, gemäss Art. 9 VVG indessen nichtig, wenn das befürchtete Ereignis im Zeitpunkt des Ab- schlusses der Versicherung schon eingetreten war. Die Gefahr, gegen deren Folgen versichert wird, muss sich auf ein zukünftiges Ereignis beziehen; ist dieses bereits eingetreten, ist eine künftige Verwirkli- chung der Gefahr nicht möglich. Eine sog. Rückwärtsversicherung, bei Seite 6</w:t>
      </w:r>
    </w:p>
    <w:p>
      <w:r>
        <w:t>welcher der Versicherer die Deckung für ein bereits vor Vertrags- schluss eingetretenes Ereignis übernimmt, ist unzulässig, unabhängig davon, ob der entsprechende Schaden vor oder nach Vertragsschluss eintritt. Ob die Vertragsparteien vom Eintritt des Ereignisses bei Ver- tragsschluss Kenntnis hatten, ist grundsätzlich unerheblich (BGE 127 III 21 E. 2b/aa S. 23). Dieses – zwingend geltende (Art. 97 VVG; BGE 127 III 21 E. 2b/bb S. 25 in fine; Urteil [des Bundesgerichts] 5C.45/2004 vom 9. Juli 2004 E. 2.1.2) – Rückwärtsversicherungsver- bot erfasst nicht nur den Neuabschluss eines Versicherungsvertrages, sondern auch dessen Abänderung oder Wiederinkraftsetzung. Ist der Versicherungsvertrag beispielsweise auf Grund eines Prämienrück- standes nach Art. 20 Abs. 3 und Art. 21 Abs. 1 (Teilsatz 1) VVG sus- pendiert und tritt das befürchtete Ereignis vor dem Wiederaufleben des Versicherungsvertrages ein, so kann der Vertrag nicht ohne Wei- teres fortgeführt werden (vgl. URS CH. NEF, in: Basler Kommentar, Bun- desgesetz über den Versicherungsvertrag, 2001, N. 4 zu Art. 9 VVG mit diversen Hinweisen). Ebenso wenig ist es statthaft, dass ein infol- ge nicht fristgerechter Prämienzahlung auf Grund von Art. 21 Abs. 1 (Teilsatz 2) VVG dahingefallener Vertrag mit der nachträglichen Entge- gennahme der ausstehenden Prämie durch den Versicherer neu abge- schlossen wird, wenn das befürchtete Ereignis zwischenzeitlich bereits eingetreten ist (BGE 66 II 279 E. 4 S. 284 in fine). Dies hat jedenfalls in Bezug auf die Deckung des bereits verwirklichten Risikos zu gelten (STEPHAN FUHRER, Schweizerisches Privatversicherungsrecht, 2011, § 5 N. 5.22).</w:t>
      </w:r>
    </w:p>
    <w:p>
      <w:r>
        <w:rPr>
          <w:b/>
        </w:rPr>
        <w:t>E. 4.3</w:t>
      </w:r>
    </w:p>
    <w:p>
      <w:r>
        <w:t>Die Beschwerdeführerin hat in ihrer vorinstanzlichen Klageantwort vom 12. April 2010 das Rückwärtsversicherungsverbot gemäss Art. 9 VVG explizit angerufen und eine Beurteilung der Sachlage (auch) nach Massgabe dieser Bestimmung beantragt. Seitens des kantonalen Gerichts wurde es in der Folge jedoch unterlassen, obgleich nach dem hievor Dargelegten entsprechende Indikationen vorhanden gewesen wären, sich mit der betreffenden Thematik zu befassen bzw. eine Prü- fung des ihr unterbreiteten Falles unter diesem Titel vorzunehmen. Darin ist mit der Beschwerdeführerin eine Verletzung des rechtlichen Gehörs nach Art. 29 Abs. 2 BV zu sehen, welche die Aufhebung des angefochtenen Entscheids und die Rückweisung der Angelegenheit zur erneuten Anhandnahme nach sich zieht (BGE 136 I 184 E. 2.2.1 S. 188, 229 E. 5.2 S. 236). Sollte die Vorinstanz im Lichte der vorste- henden Ausführungen zum Ergebnis gelangen, dass hinsichtlich der vom Beschwerdegegner monierten psychischen Erkrankung eine un- zulässige Rückwärtsversicherung und damit eine (Teil-)Nichtigkeit des am 29. Mai 2009 abgeschlossenen Vertrages vorliegt, wäre im Weite- Seite 7</w:t>
      </w:r>
    </w:p>
    <w:p>
      <w:r>
        <w:t>ren eine allfällige auf der Vertrauenshaftung basierende Schadener- satzpflicht der Beschwerdeführerin zu prüfen (vgl. dazu Urteil [des Bundesgerichts] 5C.45/2004 vom 9. Juli 2004; FUHRER, a.a.O., § 5 N. 5.26). Im Rahmen der abermaligen Beurteilung wird sie schliesslich auch zu der von der Beschwerdeführerin letztinstanzlich aufgeworfe- nen Frage der Höhe der Parteientschädigung Stellung zu nehmen ha- ben.</w:t>
      </w:r>
    </w:p>
    <w:p>
      <w:r>
        <w:rPr>
          <w:b/>
        </w:rPr>
        <w:t>E. 5</w:t>
      </w:r>
    </w:p>
    <w:p>
      <w:r>
        <w:t>Dem Ausgang des Verfahrens entsprechend ist die Beschwerde teil- weise gutzuheissen. Das Urteil des Kantonsgerichts Basel-Landschaft vom 12. Mai 2011 ist aufzuheben und die Sache an die Vorinstanz zu neuer Beurteilung im Sinne der Erwägungen zurückzuweisen. Die Ge- richtskosten sind den Parteien zur Hälfte aufzuerlegen (Art. 66 Abs. 1 BGG) und die Parteikosten für das bundesgerichtliche Verfahren wett- zuschlagen (Art. 68 Abs. 1 und 2 BGG). Dem Gesuch des Beschwer- degegners um unentgeltliche Prozessführung kann stattgegeben wer- den, da die gesetzlichen Voraussetzungen erfüllt sind (Art. 64 Abs. 1 BGG). Insbesondere ist das Kriterium der Bedürftigkeit infolge mögli- chen Absprechens der ihm vorinstanzlich zugesicherten Taggeldleis- tungen im Betrag von Fr. 31'047.15 (nebst Zins) zu bejahen (vgl. an- gefochtener Entscheid, S. 9 unten). Es wird jedoch ausdrücklich auf Art. 64 Abs. 4 BGG aufmerksam gemacht, wonach die begünstigte Partei der Gerichtskasse Ersatz zu leisten haben wird, wenn sie später dazu in der Lage ist.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