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20120213_f_ch_b_01 vom 13. Februar 2012</w:t>
      </w:r>
    </w:p>
    <w:p>
      <w:r>
        <w:t>FINMA Versicherungsrecht, 2012-02-13, FR</w:t>
      </w:r>
    </w:p>
    <w:p>
      <w:r>
        <w:rPr>
          <w:b/>
        </w:rPr>
        <w:t xml:space="preserve">Quelle: </w:t>
      </w:r>
      <w:r>
        <w:t>https://mcp.opencaselaw.ch/entscheid/finma_versicherungsrecht_20120213_f_ch_b_01</w:t>
      </w:r>
    </w:p>
    <w:p>
      <w:r>
        <w:t>FR: FINMA_VERSICHERUNGSRECHT 20120213_f_ch_b_01 du 13 février 2012</w:t>
      </w:r>
    </w:p>
    <w:p>
      <w:r>
        <w:t>IT: FINMA_VERSICHERUNGSRECHT 20120213_f_ch_b_01 del 13 febbraio 2012</w:t>
      </w:r>
    </w:p>
    <w:p>
      <w:pPr>
        <w:pStyle w:val="Heading2"/>
      </w:pPr>
      <w:r>
        <w:t>Erwägungen</w:t>
      </w:r>
    </w:p>
    <w:p>
      <w:r>
        <w:rPr>
          <w:b/>
        </w:rPr>
        <w:t>E. 1.1</w:t>
      </w:r>
    </w:p>
    <w:p>
      <w:r>
        <w:t>En tant que partie qui a succombé dans ses conclusions en paiement - sauf sur un point tout à fait secondaire (prise en charge du Bioflorin) -, l'assuré a qualité pour recourir (art. 76 al. 1 LTF).</w:t>
      </w:r>
    </w:p>
    <w:p>
      <w:r>
        <w:t>Selon l'art. 12 al. 2 de la loi fédérale du 18 mars 1994 sur l'assurance-maladie (LAMal; RS 832.10), les caisses-maladie ont le droit de pratiquer, en plus de l'assurance-maladie sociale, des assurances complémentaires. L'art. 12 al. 3 LAMal précise que ces assurances sont régies par la loi fédérale du 2 avril 1908 sur le contrat d'assurance (LCA; RS 221.229.1). Il n'est pas douteux que le demandeur fonde ses prétentions sur des contrats d'assurance privée soumis à la LCA, de sorte que la décision attaquée est rendue en matière civile au sens de l'art. 72 al. 1 LTF (ATF 133 III 439 consid. 2.1 p. 441 s.). Cette décision n'est susceptible que du recours en matière civile; toutefois, l'intitulé erroné du présent recours par son auteur ne fait pas obstacle à sa recevabilité (ATF 134 III 379 consid. 1.2 p. 382).</w:t>
      </w:r>
    </w:p>
    <w:p>
      <w:r>
        <w:rPr>
          <w:b/>
        </w:rPr>
        <w:t>E. 1.2</w:t>
      </w:r>
    </w:p>
    <w:p>
      <w:r>
        <w:t>Selon l'art. 7 du Code de procédure civile du 19 décembre 2008 (CPC; RS 272), les cantons peuvent instituer un tribunal qui statue en tant qu'instance cantonale unique sur les litiges portant sur les assurances complémentaires à l'assurance-maladie sociale selon la LAMal. Le canton de Genève a fait usage de cette faculté en prévoyant, à l'art. 134 al. 1 let. c de la loi genevoise sur l'organisation judiciaire du 26 septembre 2010 (LOJ; E 2 05), que la Chambre des assurances sociales connaît en instance cantonale unique des contestations relatives aux assurances complémentaires à l'assurance-maladie obligatoire.</w:t>
      </w:r>
    </w:p>
    <w:p>
      <w:r>
        <w:t>Avec l'entrée en vigueur du CPC, les art. 74 al. 2 let. b et art. 75 al. 2 let. a LTF ont été modifiés en ce sens que la formule "une loi fédérale prescrit une instance cantonale unique" a</w:t>
      </w:r>
    </w:p>
    <w:p>
      <w:r>
        <w:t>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(procès-verbal de la séance du 3 avril 2008 de la Commission des affaires juridiques du Conseil national, p. 9). Il résulte donc de l'art. 7 CPC que l'on se trouve bien en présence d'un cas où, selon la nouvelle formulation de la LTF, une loi fédérale prévoit une instance cantonale unique.</w:t>
      </w:r>
    </w:p>
    <w:p>
      <w:r>
        <w:t>En conséquence, la cour cantonale a valablement statué en instance unique (art. 75 al. 2 let. a LTF) et le recours est recevable sans égard à la valeur litigieuse (art. 74 al. 2 let. b LTF).</w:t>
      </w:r>
    </w:p>
    <w:p>
      <w:r>
        <w:rPr>
          <w:b/>
        </w:rPr>
        <w:t>E. 1.3</w:t>
      </w:r>
    </w:p>
    <w:p>
      <w:r>
        <w:t>Dirigé pour le reste contre un arrêt final (art. 90 LTF), le recours est en principe recevable à ce stade de l'examen, puisqu'il a été déposé dans le délai (art. 100 al. 1 LTF) et la forme (art. 42 LTF) prévus par la loi.</w:t>
      </w:r>
    </w:p>
    <w:p>
      <w:r>
        <w:rPr>
          <w:b/>
        </w:rPr>
        <w:t>E. 1.4</w:t>
      </w:r>
    </w:p>
    <w:p>
      <w:r>
        <w:t>Le recours en matière civile peut être interjeté pour violation du droit fédéral (art. 95 let. a LTF), y compris le droit constitutionnel (ATF 136 I 241 consid. 2.1 p. 247; 136 II 304 consid. 2.4 p. 313).</w:t>
      </w:r>
    </w:p>
    <w:p>
      <w:r>
        <w:t>Le Tribunal fédéral applique le droit d'office (art. 106 al. 1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(ATF 137 II 313 consid. 1.4 p. 317 s; 135 III 397 consid. 1.4 et l'arrêt cité).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 ATF 135 III 397 consid. 1.4 in fine).</w:t>
      </w:r>
    </w:p>
    <w:p>
      <w:r>
        <w:rPr>
          <w:b/>
        </w:rPr>
        <w:t>E. 1.5</w:t>
      </w:r>
    </w:p>
    <w:p>
      <w:r>
        <w:t>Le Tribunal fédéral conduit son raisonnement juridique sur la base des faits établis par l'autorité précédente (art. 105 al. 1 LTF). Il ne peut s'en écarter que si les constatations factuelles de l'autorité cantonale ont été établies de façon manifestement inexacte - notion qui correspond à celle d'arbitraire telle que l'entend l'art. 9 Cst. ( ATF 137 I 58 consid. 4.1.2 p. 62; 136 II 304 consid. 2.4) - ou en violation du droit au sens de l'art. 95 LTF (art. 105 al. 2 LTF).</w:t>
      </w:r>
    </w:p>
    <w:p>
      <w:r>
        <w:t>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susceptible d'influer sur le sort de la cause (art. 97 al. 1 LTF). Aucun fait nouveau ni preuve nouvelle ne peut être présenté à moins de résulter de la décision de l'autorité précédente (art. 99 al. 1 LTF).</w:t>
      </w:r>
    </w:p>
    <w:p>
      <w:r>
        <w:rPr>
          <w:b/>
        </w:rPr>
        <w:t>E. 1.6</w:t>
      </w:r>
    </w:p>
    <w:p>
      <w:r>
        <w:t>Le Tribunal fédéral ne peut aller au-delà des conclusions des parties (art. 107 al. 1 LTF). Toute conclusion nouvelle est irrecevable (art. 99 al. 2 LTF).</w:t>
      </w:r>
    </w:p>
    <w:p>
      <w:r>
        <w:rPr>
          <w:b/>
        </w:rPr>
        <w:t>E. 2</w:t>
      </w:r>
    </w:p>
    <w:p>
      <w:r>
        <w:t>Le premier moyen du recourant est dirigé contre le refus de lui accorder la prestation « payback » à la suite de son hospitalisation du 20 au 28 avril 2009 à la clinique A.________. Il admet que ce pan du litige porte sur l'interprétation d'une des conditions posées par le « Panorama des prestations » de l'intimée, qui impose à l'assuré d'avoir choisi de plein gré la division commune au lieu de la division privée ou demi-privée. Selon lui, le choix de plein gré de la division commune, s'agissant de patients psychiques, doit se comprendre comme le fait d'opter entre deux établissements psychiatriques (hôpital public sans section privée plutôt que clinique psychiatrique privée), et non entre deux divisions d'un même établissement psychiatrique, à moins de vouloir discriminer lesdits patients. Il fait valoir que l'assureur, qui a changé son personnel cadre, a décidé désormais arbitrairement d'interpréter de manière restrictive toutes ses clauses statutaires.</w:t>
      </w:r>
    </w:p>
    <w:p>
      <w:r>
        <w:rPr>
          <w:b/>
        </w:rPr>
        <w:t>E. 2.1</w:t>
      </w:r>
    </w:p>
    <w:p>
      <w:r>
        <w:t>Dans l'arrêt déféré, l'autorité cantonale a retenu que la prestation de services « payback », prévue dans le « Panorama des prestations » de l'assureur, s'adressait à tous les clients ayant souscrit une assurance des frais d'hospitalisation en division privée ou demi-privée, sans franchise hospitalière. En cas d'hospitalisation, si un tel assuré choisit de plein gré la division commune (au lieu de la division privée ou demi-privée) et qu'il fait part de son choix à l'assureur avant l'entrée à l'hôpital, une bonification de 100 fr. par jour d'hospitalisation lui est accordée (s'il est assuré en demi-privé), mais au maximum de 1'000 fr. par année civile.</w:t>
      </w:r>
    </w:p>
    <w:p>
      <w:r>
        <w:t>Interprétant la condition du choix « de plein gré » selon le principe de la confiance (cf. ci- dessous sur cette notion) - à défaut d'avoir déterminé la volonté réelle et concordante des parties à ce propos -, la cour cantonale a considéré que l'assuré qui veut être hospitalisé dans un hôpital public ne proposant que des chambres en division commune ne dispose pas, de bonne foi, d'un réel choix de division, la division commune lui étant alors imposée par les circonstances. Dès l'instant où cette prestation « payback » est offerte en sus des prestations habituelles d'une assurance couvrant les frais d'hospitalisation, a-t-elle ajouté, l'assuré doit s'attendre à ce que les conditions permettant son octroi soient appliquées strictement.</w:t>
      </w:r>
    </w:p>
    <w:p>
      <w:r>
        <w:rPr>
          <w:b/>
        </w:rPr>
        <w:t>E. 2.2</w:t>
      </w:r>
    </w:p>
    <w:p>
      <w:r>
        <w:t>Selon l'art. 33 LCA, l'assureur répond, sauf disposition contraire de la loi, de tous les événements qui présentent le caractère du risque contre les conséquences duquel l'assurance a été conclue, à moins que le contrat n'exclut certains événements d'une manière précise, non équivoque.</w:t>
      </w:r>
    </w:p>
    <w:p>
      <w:r>
        <w:t>Il est de jurisprudence que 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lie en principe le Tribunal fédéral conformément à l'art. 105 LTF.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w:t>
      </w:r>
    </w:p>
    <w:p>
      <w:r>
        <w:t>de droit que le Tribunal fédéral peut examiner librement (art. 106 al. 1 LTF);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L'art. 33 LCA précise que c'est à l'assureur qu'il incombe de délimiter avec précision la portée de l'engagement qu'il entend prendre (ATF 135 III 410 consid. 3.2; 133 III 675 consid. 3.3 p. 681 s. et les références citées).</w:t>
      </w:r>
    </w:p>
    <w:p>
      <w:r>
        <w:rPr>
          <w:b/>
        </w:rPr>
        <w:t>E. 2.3</w:t>
      </w:r>
    </w:p>
    <w:p>
      <w:r>
        <w:t>L'interprétation opérée par la Chambre des assurances sociales du « Panorama des prestations » de l'intimée, lequel prévoit la prestation litigieuse, respecte le droit fédéral.</w:t>
      </w:r>
    </w:p>
    <w:p>
      <w:r>
        <w:t>En effet, selon le sens ordinaire des mots, les termes « de plein gré » se comprennent comme « volontairement » (cf. Grand Robert de la langue française sous le vocable « gré »). Partant, si l'assuré est hospitalisé dans un établissement ne comportant pas de divisions privées, il doit raisonnablement comprendre qu'il ne renonce pas « de plein gré » à une hospitalisation dans une division privée ou demi-privée. Cette interprétation objective est parfaitement conforme aux règles de la bonne foi.</w:t>
      </w:r>
    </w:p>
    <w:p>
      <w:r>
        <w:t>Il a été constaté en fait (art. 105 al. 1 LTF) que la clinique A.________ est un établissement public n'offrant que l'hospitalisation en chambre commune. En choisissant librement d'être hospitalisé dans cet hôpital, le recourant n'a ainsi pas opté délibérément pour la division commune, puisqu'il n'y disposait d'aucun choix quant à la division d'hospitalisation.</w:t>
      </w:r>
    </w:p>
    <w:p>
      <w:r>
        <w:t>C'est donc à bon droit que la cour cantonale a jugé que le recourant n'avait pas droit à la prestation de « payback », qui suppose un choix réel de divisions dans le même établissement.</w:t>
      </w:r>
    </w:p>
    <w:p>
      <w:r>
        <w:t>Dans la mesure, enfin, où le recourant semble reprocher à la cour cantonale d'avoir consacré une entorse au principe constitutionnel de non-discrimination du fait d'une déficience mentale ou psychique (cf. art. 8 al. 2 in fine Cst.), il ne motive pas le grief conformément aux exigences de l'art. 106 al. 2 LTF.</w:t>
      </w:r>
    </w:p>
    <w:p>
      <w:r>
        <w:t>Le moyen doit être rejeté en tant qu'il est recevable.</w:t>
      </w:r>
    </w:p>
    <w:p>
      <w:r>
        <w:rPr>
          <w:b/>
        </w:rPr>
        <w:t>E. 3</w:t>
      </w:r>
    </w:p>
    <w:p>
      <w:r>
        <w:t>Le recourant s'en prend, dans son deuxième moyen, au refus de lui accorder le remboursement des frais de transport en voiture supportés par sa mère lors de son hospitalisation à la clinique de B.________ du 28 octobre 2008 au 4 novembre 2008. Renvoyant pour l'essentiel à un recours en matière de droit public qu'il a adressé à une Cour de droit social du Tribunal fédéral, il allègue que les assurances complémentaires ne doivent pas être plus restrictives que l'assurance de base. Il soutient qu'il était en droit de penser, s'agissant des frais de transport, « qu'il y a bel et bien des circonstances où seules les assurances complémentaires entrent en ligne de compte ».</w:t>
      </w:r>
    </w:p>
    <w:p>
      <w:r>
        <w:rPr>
          <w:b/>
        </w:rPr>
        <w:t>E. 3.1</w:t>
      </w:r>
    </w:p>
    <w:p>
      <w:r>
        <w:t>La cour cantonale a retenu que tant l'art. 3 des conditions spéciales de l'intimée relatives à l'assurance des soins « Plus » que l'art. 9 des conditions spéciales de celle-ci afférentes aux frais d'hospitalisation reprenaient la notion de transport médicalement nécessaire ancrée à l'art. 25 LAMal et définie à l'art. 26 al. 1 de l'ordonnance du DFI du 29 septembre 1995 sur les prestations dans l'assurance obligatoire des soins en cas de maladie (OPAS; RS 832.112.31). Elle en a déduit que, selon les règles de la bonne foi, les parties devaient considérer que le</w:t>
      </w:r>
    </w:p>
    <w:p>
      <w:r>
        <w:t>transport médicalement nécessaire pris en charge par les assurances complémentaires au sens desdites conditions spéciales d'assurance obéissait aux conditions posées par la LAMal. A partir de là, elle a admis en particulier qu'aucun des trajets effectués par la mère du recourant ne satisfaisait à l'exigence d'urgence résultant du droit des assurances sociales.</w:t>
      </w:r>
    </w:p>
    <w:p>
      <w:r>
        <w:rPr>
          <w:b/>
        </w:rPr>
        <w:t>E. 3.2</w:t>
      </w:r>
    </w:p>
    <w:p>
      <w:r>
        <w:t>A teneur de l'art. 42 al. 1 LTF, le mémoire adressé au Tribunal fédéral doit contenir les motifs du recours; en conséquence, les renvois à une écriture antérieure n'y sont pas admis (ATF 131 III 384 consid. 2.3 p. 387/388; 126 III 198 consid. 1d p. 201).</w:t>
      </w:r>
    </w:p>
    <w:p>
      <w:r>
        <w:t>Le recourant ne s'en prend pas de manière intelligible au raisonnement exposé par l'autorité cantonale au considérant 7 de l'arrêt attaqué. Il se limite à présenter sa propre version des choses sans même se référer à une seule disposition légale. Le grief est manifestement irrecevable, à défaut d'être motivé selon les réquisits de l'art. 42 al. 1 et 2 LTF.</w:t>
      </w:r>
    </w:p>
    <w:p>
      <w:r>
        <w:t>Fût-il recevable que le grief serait infondé.</w:t>
      </w:r>
    </w:p>
    <w:p>
      <w:r>
        <w:t>D'après l'art. 25 al. 1 LAMal, l'assurance obligatoire des soins prend en charge les coûts des prestations qui servent à diagnostiquer ou à traiter une maladie et ses séquelles; ces prestations comprennent notamment une contribution aux frais de transport médicalement nécessaires ainsi qu'aux frais de sauvetage (art. 25 al. 2 let. g LAMal).</w:t>
      </w:r>
    </w:p>
    <w:p>
      <w:r>
        <w:t>Selon la jurisprudence, ce qui importe sous cet angle, c'est que le transport soit nécessaire en vue de dispenser des soins lorsqu'il existe une menace grave pour la santé ou pour la vie de l'assuré (arrêt du Tribunal fédéral des assurances K 88/01 du 26 septembre 2001 consid. 3, in RAMA 2001 no KV 193 p. 520).</w:t>
      </w:r>
    </w:p>
    <w:p>
      <w:r>
        <w:t>Comme les conditions spéciales d'assurance de l'intimée reprennent sans aucune restriction la notion de transport médicalement nécessaire de l'art. 25 LAMal, il est conforme au droit fédéral de retenir que les parties devaient raisonnablement admettre que cette notion devait correspondre à celle qui a cours dans l'assurance de base (interprétation selon les règles de la bonne foi).</w:t>
      </w:r>
    </w:p>
    <w:p>
      <w:r>
        <w:t>Or il n'a jamais été constaté en fait, d'une manière à lier le Tribunal fédéral (art. 105 al. 1 LTF), que les transports opérés par la mère du recourant l'avaient été dans un contexte où la santé (voire la vie) de ce dernier avaient été gravement menacées.</w:t>
      </w:r>
    </w:p>
    <w:p>
      <w:r>
        <w:rPr>
          <w:b/>
        </w:rPr>
        <w:t>E. 4</w:t>
      </w:r>
    </w:p>
    <w:p>
      <w:r>
        <w:t>Dans un dernier grief, le recourant reproche à la cour cantonale de ne pas lui avoir accordé une indemnité pour frais et dépens en instance cantonale, nonobstant la loi genevoise d'application du code civil suisse et autres lois fédérales en matière civile du 28 novembre 2010 (LaCC; E 1 05). Il allègue que son représentant (i. e. sa mère) a défendu ses intérêts avec professionnalisme en consacrant à cette activité un temps tout à fait considérable.</w:t>
      </w:r>
    </w:p>
    <w:p>
      <w:r>
        <w:rPr>
          <w:b/>
        </w:rPr>
        <w:t>E. 4.1</w:t>
      </w:r>
    </w:p>
    <w:p>
      <w:r>
        <w:t>Il résulte de l'arrêt déféré que la cour cantonale a considéré que la mère du recourant n'était pas un mandataire professionnellement qualifié au sens de l'art. 19 LaCC. Elle a ajouté que si cette dernière avait peut-être consacré un temps important à cette affaire, cette activité était disproportionnée.</w:t>
      </w:r>
    </w:p>
    <w:p>
      <w:r>
        <w:rPr>
          <w:b/>
        </w:rPr>
        <w:t>E. 4.2</w:t>
      </w:r>
    </w:p>
    <w:p>
      <w:r>
        <w:t>La demande ayant été déposée le 20 février 2011, soit après l'entrée en vigueur du CPC, le droit à une indemnité pour frais d'avocat découle ainsi du droit fédéral (cf. arrêt 4C_1/2011 du 3 mai 2011 consid. 6.2, in Pra 2011 no 88 p. 623).</w:t>
      </w:r>
    </w:p>
    <w:p>
      <w:r>
        <w:t>Le recourant n'invoque la violation d'aucune norme du CPC. Il ne soutient pas, à bon droit, devoir être assimilé à la partie qui a obtenu gain de cause, puisqu'il a entièrement succombé dans sa demande, hormis sur la question totalement accessoire de la prise en charge d'un médicament. Le recourant ne prétend pas plus que les frais et dépens d'instance cantonale auraient dû être répartis en équité, au motif qu'une des conditions de l'art. 107 al. 1 CPC était satisfaite.</w:t>
      </w:r>
    </w:p>
    <w:p>
      <w:r>
        <w:t>Le grief est irrecevable.</w:t>
      </w:r>
    </w:p>
    <w:p>
      <w:r>
        <w:rPr>
          <w:b/>
        </w:rPr>
        <w:t>E. 5</w:t>
      </w:r>
    </w:p>
    <w:p>
      <w:r>
        <w:t>Au vu de ce qui précède, le recours doit être rejeté dans la mesure de sa recevabilité. Les frais judiciaires de la procédure fédérale doivent être mis à la charge du recourant, qui succombe (art. 66 al. 1 LTF). Il n'y a pas lieu d'allouer des dépens à l'intimée, qui n'est pas représentée par un avocat et n'a pas fait état de dépenses particulières (cf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