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20110207_f_ch_b_01 vom 7. Februar 2011</w:t>
      </w:r>
    </w:p>
    <w:p>
      <w:r>
        <w:t>FINMA Versicherungsrecht, 2011-02-07, FR</w:t>
      </w:r>
    </w:p>
    <w:p>
      <w:r>
        <w:rPr>
          <w:b/>
        </w:rPr>
        <w:t xml:space="preserve">Quelle: </w:t>
      </w:r>
      <w:r>
        <w:t>https://mcp.opencaselaw.ch/entscheid/finma_versicherungsrecht_20110207_f_ch_b_01</w:t>
      </w:r>
    </w:p>
    <w:p>
      <w:r>
        <w:t>FR: FINMA_VERSICHERUNGSRECHT 20110207_f_ch_b_01 du 7 février 2011</w:t>
      </w:r>
    </w:p>
    <w:p>
      <w:r>
        <w:t>IT: FINMA_VERSICHERUNGSRECHT 20110207_f_ch_b_01 del 7 febbraio 2011</w:t>
      </w:r>
    </w:p>
    <w:p>
      <w:pPr>
        <w:pStyle w:val="Heading2"/>
      </w:pPr>
      <w:r>
        <w:t>Erwägungen</w:t>
      </w:r>
    </w:p>
    <w:p>
      <w:r>
        <w:rPr>
          <w:b/>
        </w:rPr>
        <w:t>E. 1</w:t>
      </w:r>
    </w:p>
    <w:p>
      <w:r>
        <w:t>S'agissant d'une affaire pécuniaire qui ne porte ni sur le droit du travail ni sur le droit du bail à loyer, le recours en matière civile n'est recevable que si la valeur litigieuse - déterminée selon le capital réclamé dans les dernières conclusions prises devant l'autorité précédente (art. 51 al. 1 let. a et al. 3 LTF) - s'élève au moins à 30'000 fr. (art. 74 al. 1 let. b LTF).</w:t>
      </w:r>
    </w:p>
    <w:p>
      <w:r>
        <w:t>Le recourant ne disconvient pas que la valeur litigieuse, qui est de 23'013 fr.20, n'atteint pas le seuil fixé à l'art. 74 al. 1 let. b LTF. Il soutient que le recours en matière civile est néanmoins recevable, en raison de l'exception formulée à l'art. 74 al. 2 let. a LTF, la contestation soulevant une question juridique de principe.</w:t>
      </w:r>
    </w:p>
    <w:p>
      <w:r>
        <w:rPr>
          <w:b/>
        </w:rPr>
        <w:t>E. 1.1</w:t>
      </w:r>
    </w:p>
    <w:p>
      <w:r>
        <w:t>La contestation soulève une question juridique de principe au sens de l'art. 74 al. 2 let. a LTF s'il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(ATF 135 III 397 consid. 1.2 p. 399). Il incombe au recourant qui se prévaut de cette disposition d'expliquer de manière précise en quoi la contestation soulèverait une question juridique de principe (art. 42 al. 2 2ème phrase LTF; ATF 133 III 439 consid. 2.2.2.1). La notion de question juridique de principe doit être interprétée de manière restrictive (ATF 135 III 397 consid. 1.2 p. 399; 134 III 115 consid. 1.2 p. 117).</w:t>
      </w:r>
    </w:p>
    <w:p>
      <w:r>
        <w:rPr>
          <w:b/>
        </w:rPr>
        <w:t>E. 1.2.1</w:t>
      </w:r>
    </w:p>
    <w:p>
      <w:r>
        <w:t>Le recourant soutient que déterminer le dies a quo de la prescription des prétentions de l'assuré dans l'assurance de protection juridique constitue une question juridique de principe. Il fait valoir que cette question n'a pas encore reçu de réponse claire dans la loi, la jurisprudence et la doctrine.</w:t>
      </w:r>
    </w:p>
    <w:p>
      <w:r>
        <w:t>Il n'en est rien.</w:t>
      </w:r>
    </w:p>
    <w:p>
      <w:r>
        <w:t>A teneur de l'art. 46 al. 1, 1e phrase, LCA, les créances qui dérivent du contrat d'assurance se prescrivent par deux ans à dater du fait d'où naît l'obligation</w:t>
      </w:r>
    </w:p>
    <w:p>
      <w:r>
        <w:t>Selon la jurisprudence constante, le point de départ du délai légal de prescription susmentionné, en matière d'assurance de protection juridique, est la réalisation du risque, qui correspond à l'apparition du besoin d'assistance juridique (ATF 126 III 278 consid. 7a p. 280; 119 II 468 consid. 2c p. 470).</w:t>
      </w:r>
    </w:p>
    <w:p>
      <w:r>
        <w:t>On voit donc que le problème de droit évoqué fait l'objet d'une jurisprudence fermement établie.</w:t>
      </w:r>
    </w:p>
    <w:p>
      <w:r>
        <w:t>Le recourant expose certes que pour certains auteurs (MAURER, Schweizerisches Privatversicherungsrecht, 2e éd. 1986 p. 379; BREHM, Le contrat d'assurance de responsabilité civile, 1983, nos 785 ss; THALMANN, Die Verjährung im Privatversicherungsrecht, thèse Zurich 1940, p. 202 et 208) la prescription court seulement dès que le litige est liquidé, par jugement définitif ou transaction. Il se réfère encore à d'autres auteurs (ROELLI/KELLER, Kommentar zum Schweizerischen Bundesgesetz über den Versicherungsvertrag, vol I, Berne 1968, p. 668; VIRET, Droit des assurances privées, 3e éd., 1991 p. 135; PETERMANN, La prescription des actions, RSA 1959/60, p. 399/400) qui ont émis l'avis que la prescription court dès le commencement du litige avec celui qui est appelé à devenir la partie adverse au procès.</w:t>
      </w:r>
    </w:p>
    <w:p>
      <w:r>
        <w:t>Mais ces opinions doctrinales sont toutes largement antérieures à la jurisprudence résultant de l'arrêt du 9 mars 2000 publié aux ATF 126 III 278. Et le recourant ne cite aucun auteur qui aurait critiqué depuis lors ce dernier précédent. En définitive, il n'appert nullement que l'on se trouve en présence d'un point de droit qui nécessite de manière urgente d'être clarifié par le Tribunal fédéral.</w:t>
      </w:r>
    </w:p>
    <w:p>
      <w:r>
        <w:rPr>
          <w:b/>
        </w:rPr>
        <w:t>E. 1.2.2</w:t>
      </w:r>
    </w:p>
    <w:p>
      <w:r>
        <w:t>Le recourant prétend que savoir à partir de quel moment il convient d'admettre que le besoin d'assistance juridique survient est une autre question juridique de principe.</w:t>
      </w:r>
    </w:p>
    <w:p>
      <w:r>
        <w:t>Il n'y a derechef aucune question juridique de principe, qui exigerait clarification dans l'intérêt général. Il s'agit seulement d'appliquer la jurisprudence constante aux circonstances factuelles du cas particulier. Or procéder à la subsomption de la jurisprudence n'a rien à voir avec la résolution d'un problème juridique de principe.</w:t>
      </w:r>
    </w:p>
    <w:p>
      <w:r>
        <w:rPr>
          <w:b/>
        </w:rPr>
        <w:t>E. 1.2.3</w:t>
      </w:r>
    </w:p>
    <w:p>
      <w:r>
        <w:t>Il suit de là que le présent recours ne pose en rien une question juridique de principe au sens de l'art. 74 al. 2 let. a LTF, en sorte que le recours en matière civile doit être déclaré irrecevable, à défaut d'atteindre la valeur litigieuse exigée par l'art. 74 al. 1 let. b LTF.</w:t>
      </w:r>
    </w:p>
    <w:p>
      <w:r>
        <w:rPr>
          <w:b/>
        </w:rPr>
        <w:t>E. 2</w:t>
      </w:r>
    </w:p>
    <w:p>
      <w:r>
        <w:t>Le Tribunal fédéral n'est pas lié par la dénomination d'un recours, dans la mesure où l'écriture déposée remplit les conditions de recevabilité d'un des recours prévus par la loi sur le Tribunal fédéral. Le recours ordinaire en matière civile étant irrecevable, il convient ainsi d'examiner si le recours peut être converti en recours constitutionnel subsidiaire (sur le mécanisme de conversion, ATF 134 III 379 consid. 1.2 p. 382).</w:t>
      </w:r>
    </w:p>
    <w:p>
      <w:r>
        <w:rPr>
          <w:b/>
        </w:rPr>
        <w:t>E. 2.1</w:t>
      </w:r>
    </w:p>
    <w:p>
      <w:r>
        <w:t>Dirigé contre un arrêt final (art. 90 LTF applicable par renvoi de l'art. 117 LTF) rendu par une autorité cantonale de dernière instance (art. 75 LTF par renvoi de l'art. 114 LTF), le présent recours a été déposé en temps utile (art. 117 et 100 al. 1 LTF) et dans les formes</w:t>
      </w:r>
    </w:p>
    <w:p>
      <w:r>
        <w:t>prescrites (art. 42 LTF) par une partie à la procédure cantonale disposant d'un intérêt juridique à l'annulation ou à la modification de cette décision (art. 115 LTF). Il est donc en principe recevable comme recours constitutionnel.</w:t>
      </w:r>
    </w:p>
    <w:p>
      <w:r>
        <w:t>Le recours constitutionnel subsidiaire peut être formé pour violation des droits constitutionnels (art. 116 LTF). Le Tribunal fédéral n'examine toutefois la violation des droits fondamentaux que si ce grief a été invoqué et motivé par le recourant conformément à l'art. 106 al. 2 LTF, applicable par renvoi de l'art. 117 LTF, c'est-à-dire selon le principe d'allégation (cf. ATF 133 II 249 consid. 1.4.2 p. 254). En application de ce principe, la partie recourante ne peut, singulièrement dans un recours pour arbitraire fondé sur l'art. 9 Cst., se contenter de critiquer l'arrêt attaqué comme elle le ferait dans une procédure d'appel où l'autorité de recours peut revoir librement l'application du droit; elle doit au contraire préciser en quoi cet arrêt serait arbitraire (cf. ATF 134 I 263 consid. 3.1 p. 265 s.; 133 II 396 consid. 3.1 p. 399 s. et la jurisprudence citée).</w:t>
      </w:r>
    </w:p>
    <w:p>
      <w:r>
        <w:t>Le Tribunal fédéral statue sur la base des faits établis par l'autorité précédente (art. 118 al. 1 LTF). Il peut néanmoins rectifier ou compléter les constatations de l'autorité précédente si les faits on été établis en violation d'un droit constitutionnel (art. 118 al. 2 LTF en relation avec l'art. 116 LTF), ce que la partie recourante doit démontrer d'une manière circonstanciée et précise, conformément aux exigences de motivation posées à l'art. 106 al. 2 LTF (applicable par renvoi de l'art. 117 LTF; cf. ATF 133 III 439 consid. 3.2. p. 444 s.).</w:t>
      </w:r>
    </w:p>
    <w:p>
      <w:r>
        <w:t>En vertu de l'art. 99 al. 1 LTF, aucun fait nouveau ni preuve nouvelle ne peut être présenté à moins de résulter de la décision de l'autorité précédente (cf. ATF 133 IV 342 consid. 2.1 p. 343).</w:t>
      </w:r>
    </w:p>
    <w:p>
      <w:r>
        <w:rPr>
          <w:b/>
        </w:rPr>
        <w:t>E. 2.2</w:t>
      </w:r>
    </w:p>
    <w:p>
      <w:r>
        <w:t>En l'espèce, le recours n'invoque pas la violation d'un quelconque droit fondamental. En particulier, il est dénué de toute démonstration d'arbitraire au sens de l'art. 9 Cst. (norme qui n'est du reste même pas citée), que ce soit dans l'application du droit fédéral ou dans l'appréciation des preuves. Ipso facto, le recours constitutionnel est irrecevable faute de motivation (art. 117 LTF et 106 al. 2 LTF).</w:t>
      </w:r>
    </w:p>
    <w:p>
      <w:r>
        <w:t>De toute manière, en fixant, pour ce qui est de l'assurance de protection juridique, le dies a quo du délai de prescription découlant de l'art. 46 al. 1 LCA au jour où le besoin d'assistance est apparu, la cour cantonale n'a fait que se conformer à la jurisprudence constante de la juridiction fédérale. Cette démarche n'est évidemment pas insoutenable.</w:t>
      </w:r>
    </w:p>
    <w:p>
      <w:r>
        <w:t>De même, on cherche en vain ce qu'il y avait d'indéfendable à admettre que le besoin de protection juridique est apparu au plus tard le 2 mai 2005. En effet, à cette date, l'école a clairement indiqué au recourant qu'elle allait prendre des sanctions contre son fils en raison de la tenue d'un blog et que si le demandeur n'avait pas déclaré par écrit jusqu'au 9 mai 2005 les accepter, son fils B.X.________ serait renvoyé de l'établissement avec effet immédiat. A cela s'ajoute que le recourant a démontré avec éclat qu'il avait besoin d'une assistance juridique le 2 mai 2005, du moment qu'il a téléphoné le jour en question à l'assurance pour lui dire qu'il était en conflit avec l'école.</w:t>
      </w:r>
    </w:p>
    <w:p>
      <w:r>
        <w:rPr>
          <w:b/>
        </w:rPr>
        <w:t>E. 3</w:t>
      </w:r>
    </w:p>
    <w:p>
      <w:r>
        <w:t>Il suit de là que le recours, examiné comme recours constitutionnel subsidiaire, est irrecevable.</w:t>
      </w:r>
    </w:p>
    <w:p>
      <w:r>
        <w:t>Les frais doivent être mis à la charge de la partie qui succombe (art. 66 al. 1 LTF). Il n'y a pas lieu d'allouer des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