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20101220_f_ch_b_01 vom 20. Dezember 2010</w:t>
      </w:r>
    </w:p>
    <w:p>
      <w:r>
        <w:t>FINMA Versicherungsrecht, 2010-12-20, FR</w:t>
      </w:r>
    </w:p>
    <w:p>
      <w:r>
        <w:rPr>
          <w:b/>
        </w:rPr>
        <w:t xml:space="preserve">Quelle: </w:t>
      </w:r>
      <w:r>
        <w:t>https://mcp.opencaselaw.ch/entscheid/finma_versicherungsrecht_20101220_f_ch_b_01</w:t>
      </w:r>
    </w:p>
    <w:p>
      <w:r>
        <w:t>FR: FINMA_VERSICHERUNGSRECHT 20101220_f_ch_b_01 du 20 décembre 2010</w:t>
      </w:r>
    </w:p>
    <w:p>
      <w:r>
        <w:t>IT: FINMA_VERSICHERUNGSRECHT 20101220_f_ch_b_01 del 20 dicembre 2010</w:t>
      </w:r>
    </w:p>
    <w:p>
      <w:pPr>
        <w:pStyle w:val="Heading2"/>
      </w:pPr>
      <w:r>
        <w:t>Erwägungen</w:t>
      </w:r>
    </w:p>
    <w:p>
      <w:r>
        <w:rPr>
          <w:b/>
        </w:rPr>
        <w:t>E. 1</w:t>
      </w:r>
    </w:p>
    <w:p>
      <w:r>
        <w:t>let. c LTF). In casu, l'intimée, au chiffre 3 de ses conclusions, a conclu au paiement par la recourante de la somme de 62'000 fr. en capital ou ce que justice dira. Ainsi, le seuil de 30'000 fr. fixé par l'art. 74 al. 1 let. b LTF pour les affaires pécuniaires est dépassé.</w:t>
      </w:r>
    </w:p>
    <w:p>
      <w:r>
        <w:rPr>
          <w:b/>
        </w:rPr>
        <w:t>E. 1.1</w:t>
      </w:r>
    </w:p>
    <w:p>
      <w:r>
        <w:t>Dans la décision attaquée, la cour cantonale a statué uniquement sur l'exception d'incompétence à raison de la matière soulevée par la recourante dans sa réponse. Comme la Cour civile s'est reconnue compétente, elle n'a pas rendu une décision finale au sens de l'art. 90 LTF, puisqu'il n'est pas mis fin à la procédure intentée par l'intimée le 9 janvier 2009, ni une décision partielle telle que l'entend l'art. 91 LTF, du moment qu'il n'a pas été statué sur une portion indépendante de ce qui est demandé au fond ou qu'une partie n'a pas été mise hors de cause. La décision déférée est ainsi une décision incidente qui porte sur la compétence, laquelle peut faire l'objet d'un recours immédiat au Tribunal fédéral en application de l'art. 92 LTF.</w:t>
      </w:r>
    </w:p>
    <w:p>
      <w:r>
        <w:t>En cas de recours contre une décision incidente, la valeur litigieuse doit être déterminée en fonction des conclusions restées litigieuses devant l'autorité compétente sur le fond (art. 51 al.</w:t>
      </w:r>
    </w:p>
    <w:p>
      <w:r>
        <w:rPr>
          <w:b/>
        </w:rPr>
        <w:t>E. 1.2</w:t>
      </w:r>
    </w:p>
    <w:p>
      <w:r>
        <w:t>A teneur de l'art. 72 al. 1 LTF, le Tribunal fédéral connaît des recours contre les décisions rendues en matière civile. La notion de matière civile se détermine d'après l'objet du litige. Il est décisif sous cet angle - comme c'était déjà le cas sous l'empire de la loi fédérale d'organisation judiciaire du 16 décembre 1943 (OJ) - de déterminer si les parties, à considérer leurs allégués, moyens et conclusions, ont élevé des prétentions fondées sur le droit civil fédéral et si de telles prétentions sont objectivement litigieuses. Le différend qui porte sur la question de savoir si des prétentions de droit privé fédéral ont objectivement été soulevées est rendu également en matière civile (ATF 135 III 483 consid. 1.1.1 p. 485; 129 III 415 consid. 2.1; 128 III 250 consid. 1a p. 252 et les références).</w:t>
      </w:r>
    </w:p>
    <w:p>
      <w:r>
        <w:t>En l'espèce, l'intimée - demanderesse en instance cantonale - a émis des prétentions que la IIe Cour civile du Tribunal cantonal neuchâtelois a qualifiées comme étant de nature civile, ce qui justifiait sa compétence à raison de la matière pour connaître du litige au fond. La recourante conteste la nature civile des prétentions élevées à son encontre et affirme qu'il s'agit d'un litige de droit public, qui se rapporte précisément au droit des assurances sociales. Le présent différend, qui a trait au point de savoir si c'est à juste titre que l'autorité précédente a considéré que la cause relève du droit civil, a donc été rendu en matière civile au sens de l'art. 72 al. 1 LTF.</w:t>
      </w:r>
    </w:p>
    <w:p>
      <w:r>
        <w:rPr>
          <w:b/>
        </w:rPr>
        <w:t>E. 1.3</w:t>
      </w:r>
    </w:p>
    <w:p>
      <w:r>
        <w:t>Interjeté pour le reste par la partie défenderesse qui a vu écarter ses conclusions en déclinatoire de compétence et qui a ainsi la qualité pour recourir (art. 76 al. 1 LTF), dirigé contre une décision de l'autorité cantonale de dernière instance (art. 75 LTF), le recours en matière civile est par principe recevable, puisqu'il a été déposé dans le délai (art. 100 al. 1 LTF) et la forme (art. 42 LTF) prévus par la loi. Que la cour cantonale ait statué en instance unique est certes contraire aux exigences de l'art. 75 al. 2 LTF, mais il n'importe car les cantons disposent encore d'un délai d'adaptation (art. 130 al. 2 LTF).</w:t>
      </w:r>
    </w:p>
    <w:p>
      <w:r>
        <w:t>La recevabilité du recours en matière civile rend irrecevable le recours constitutionnel exercé parallèlement par la recourante contre le jugement attaqué (art. 113 LTF).</w:t>
      </w:r>
    </w:p>
    <w:p>
      <w:r>
        <w:rPr>
          <w:b/>
        </w:rPr>
        <w:t>E. 1.4</w:t>
      </w:r>
    </w:p>
    <w:p>
      <w:r>
        <w:t>Le recours en matière civile peut être interjeté pour violation du droit fédéral (art. 95 let. a LTF), y compris le droit constitutionnel (ATF 135 III 670 consid. 1.4 p. 674; 134 III 379 consid. 1.2 p. 382). Le Tribunal fédéral applique le droit d'office (art. 106 al. 1 LTF). Il n'est</w:t>
      </w:r>
    </w:p>
    <w:p>
      <w:r>
        <w:t>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(ATF 135 III 397 consid. 1.4 et l'arrêt cité).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 ATF 135 III 397 consid. 1.4 in fine).</w:t>
      </w:r>
    </w:p>
    <w:p>
      <w:r>
        <w:rPr>
          <w:b/>
        </w:rPr>
        <w:t>E. 1.5</w:t>
      </w:r>
    </w:p>
    <w:p>
      <w:r>
        <w:t>Le Tribunal fédéral conduit son raisonnement juridique sur la base des faits établis par l'autorité précédente (art. 105 al. 1 LTF). Il ne peut s'en écarter que si les constatations factuelles de l'autorité cantonale ont été établies de façon manifestement inexacte - notion qui correspond à celle d'arbitraire telle que l'entend l'art. 9 Cst. (ATF 135 III 127 consid. 1.5 p. 130, 397 consid. 1.5)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133 IV 286 consid. 1.4 et 6.2). Le recourant ne peut de toute manière demander une correction de l'état de fait que si celle-ci est susceptible d'influer sur le sort de la cause (art. 97 al. 1 LTF). Aucun fait nouveau ni preuve nouvelle ne peut être présenté à moins de résulter de la décision de l'autorité précédente (art. 99 al. 1 LTF).</w:t>
      </w:r>
    </w:p>
    <w:p>
      <w:r>
        <w:t>Le Tribunal fédéral ne peut aller au-delà des conclusions des parties (art. 107 al. 1 LTF). Toute conclusion nouvelle est irrecevable (art. 99 al. 2 LTF).</w:t>
      </w:r>
    </w:p>
    <w:p>
      <w:r>
        <w:rPr>
          <w:b/>
        </w:rPr>
        <w:t>E. 2.1</w:t>
      </w:r>
    </w:p>
    <w:p>
      <w:r>
        <w:t>Il résulte du jugement critiqué que la Cour civile a nié que la prétention de la demanderesse se rapportât, par le jeu de la cession de créance opérée par A.________ au profit de celle-ci, à un contentieux soumis à la réglementation de l'art. 73 LPP. D'un autre côté, elle a admis qu'il n'était pas possible de considérer que la part des prétentions de la demanderesse fondée sur la loi fédérale du 2 avril 1908 sur le contrat d'assurance (LCA; RS 221.229.1) l'emporterait sur celle découlant du droit de la prévoyance professionnelle obligatoire, ce qui aurait entraîné de ce seul fait sa compétence matérielle. Soulignant que la LCA peut devoir être appliquée par analogie et à titre subsidiaire dans le domaine de la prévoyance dite plus étendue, la cour cantonale en a inféré que cette loi est susceptible de trouver également application lorsqu'il est question de coordonner les prestations d'une institution de prévoyance et celles d'une compagnie d'assurance privée. Comme la présente affaire repose sur l'application des art. 53 et 71 al. 1 LCA " dans les rapports de deux assureurs entre eux, sans lien de subordination entre eux mais au contraire placés sur un pied d'égalité ", les magistrats neuchâtelois ont jugé que le litige est de nature civile et qu'en conséquence il lui compète.</w:t>
      </w:r>
    </w:p>
    <w:p>
      <w:r>
        <w:rPr>
          <w:b/>
        </w:rPr>
        <w:t>E. 2.2</w:t>
      </w:r>
    </w:p>
    <w:p>
      <w:r>
        <w:t>La recourante prétend que la cour cantonale a violé le droit fédéral en n'appliquant pas l'art. 73 LPP. Elle soutient qu'elle ne peut être amenée à prester que dans le cadre des prestations qu'elle offre en vertu de la LPP, dès lors que l'intimée n'a pas fondé son action sur un enrichissement illégitime et qu'une action en responsabilité n'entre pas en ligne de compte.</w:t>
      </w:r>
    </w:p>
    <w:p>
      <w:r>
        <w:t>Elle relève qu'il n'est pas décisif, pour l'application de l'art. 73 LPP, que la partie demanderesse soit ou non une caisse de pensions. Du moment que la recourante est une institution de prévoyance reconnue, inscrite au registre officiel, elle relève de la voie de droit instituée par la norme précitée. Autrement dit, le Tribunal administratif cantonal est seul compétent pour connaître du litige, qui porte sur des prestations d'invalidité. La recourante fait encore grief à l'autorité cantonale de n'avoir pas recherché les relations juridiques nouées par les parties. Elle allègue enfin que l'intimée ne saurait lui opposer ses conditions générales d'assurance, car aucun contrat n'a lié les plaideurs en relation avec l'incapacité de gain subie par A.________.</w:t>
      </w:r>
    </w:p>
    <w:p>
      <w:r>
        <w:rPr>
          <w:b/>
        </w:rPr>
        <w:t>E. 3.1</w:t>
      </w:r>
    </w:p>
    <w:p>
      <w:r>
        <w:t>Dans sa demande déposée le 9 janvier 2009, l'intimée a conclu, sous chiffre 2, à ce que la recourante soit contrainte à donner le détail des prestations qu'elle aurait dû allouer à l'assuré si la première n'avait pas versé d'indemnités journalières en cas de maladie au-delà des douze premiers mois de l'incapacité de travail dudit assuré, cela en faisant le départ entre les prestations obligatoires et surobligatoires; sous chiffre 3 de ses conclusions, elle a réclamé paiement à la Caisse de pensions de la somme de 62'000 fr. en capital. A l'appui de ses prétentions, l'intimée a fait valoir qu'elle devait être libérée au moins partiellement de son obligation de verser à l'assuré les indemnités journalières contractuellement dues, parce que ce dernier était surindemnisé et ne pouvait donc pas toucher 700 indemnités journalières; estimant avoir trop payé, l'intimée est d'avis que la recourante est sa débitrice.</w:t>
      </w:r>
    </w:p>
    <w:p>
      <w:r>
        <w:rPr>
          <w:b/>
        </w:rPr>
        <w:t>E. 3.2</w:t>
      </w:r>
    </w:p>
    <w:p>
      <w:r>
        <w:t>Différentes théories ont été développées pour délimiter les affaires ressortissant au droit public de celles relevant du droit privé. Les différents critères de distinction applicables ne s'excluent pas entre eux, mais doivent au contraire être utilisés de cas en cas afin de rechercher celui qui est le mieux approprié pour résoudre la question concrète qui se pose. Ainsi, selon la théorie de la subordination, appelée aussi théorie des sujets, le poids est mis sur l'égalité de rang des sujets de droit ou, à l'inverse, sur la sujétion qui existe entre eux du fait de l'exercice de la puissance publique. La théorie de la fonction considère qu'une norme est de droit public si elle règle l'exécution d'une tâche publique ou l'exercice d'une activité publique. Quant à la théorie des intérêts, elle distingue selon que sont poursuivis des intérêts privés ou des intérêts publics (ATF 132 I 270 consid. 4.3 p. 273; 128 III 250 consid. 2 p. 253 et les références; cf. aussi ULRICH HÄFELIN ET AL, Allgemeines Verwaltungsrecht, 6e éd, 2010, p. 55 ss).</w:t>
      </w:r>
    </w:p>
    <w:p>
      <w:r>
        <w:t>En l'occurrence, on est en présence d'un litige qui a trait principalement à l'interdiction de la surindemnisation, respectivement au remboursement de prestations qu'une assurance (privée) a effectuées comme avances au profit du lésé et dont elle exige la restitution à une caisse de prévoyance au sens de la LPP. On ne peut pas affirmer qu'il existe un rapport de subordination entre les parties. Il n'est pas davantage possible de considérer que les intérêts en jeu sont différents selon qu'une action récursoire est intentée entre assureurs privés ou entre assureurs sociaux. Cela étant, tant l'interdiction de la surindemnisation - principe qui vaut en droit privé et désormais en droit des assurances sociales (cf. art. 69 de la loi fédérale sur la partie générale du droit des assurances sociales du 6 octobre 2000; LPGA, RS 830.1) - que l'harmonisation et la coordination entre les divers régimes d'assurance existants impliquent l'instauration d'un droit de recours des institutions sollicitées, soumis aux mêmes principes juridiques, peu importe que les institutions en cause relèvent du droit privé ou droit public. Le choix de la voie de droit doit en conséquence dépendre du titre juridique sur lequel reposent les prétentions déduites en justice, plus exactement du domaine auxquelles appartiennent les normes sur lesquelles sont fondées les créances réclamées.</w:t>
      </w:r>
    </w:p>
    <w:p>
      <w:r>
        <w:rPr>
          <w:b/>
        </w:rPr>
        <w:t>E. 3.3</w:t>
      </w:r>
    </w:p>
    <w:p>
      <w:r>
        <w:t>La réglementation concernant le remboursement des avances se trouve - en matière d'assurances sociales - à l'art. 71 LPGA. D'après cette disposition,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En cas de concours de plusieurs prestations avec des prestations prévues par d'autres assurances sociales, l'art. 34a al. 2 LPP renvoie à l'art. 66 LPGA, qui prescrit que, sous réserve de surindemnisation, les rentes et les indemnités en capital des différentes assurances sociales sont cumulées (al. 1) et versées selon l'ordre prévu par son alinéa 2, soit l'AVS ou l'AI (let. a), l'assurance militaire ou l'assurance-accidents (let. b), la prévoyance professionnelle vieillesse, survivants et invalidité au sens de la LPP (let. c). Il appert ainsi que les règles portant sur le remboursement des avances se trouvent dans la LPP, respectivement dans la LPGA, c'est-à-dire dans le droit des assurances sociales, lequel fait partie intégrante du droit public. Il sied à ce stade de préciser que la prévoyance surobligatoire au sens de l'art. 49 LPP ressortit également au droit public (cf. arrêt 9C_40/2010 du 6 octobre 2010).</w:t>
      </w:r>
    </w:p>
    <w:p>
      <w:r>
        <w:rPr>
          <w:b/>
        </w:rPr>
        <w:t>E. 3.4</w:t>
      </w:r>
    </w:p>
    <w:p>
      <w:r>
        <w:t>Il est constant que la demanderesse et intimée est une assurance privée. Le recours entre responsables en droit privé est réglementé aux art. 50 et 51 CO, alors que celui de l'assureur en droit des assurances privées fait l'objet spécifiquement de l'art. 72 LCA. L'intimée ne fonde toutefois pas ses prétentions sur une de ces dispositions.</w:t>
      </w:r>
    </w:p>
    <w:p>
      <w:r>
        <w:t>A supposer que la demanderesse, forte d'une subrogation légale ou d'une cession, serait devenue titulaire des droits de l'assuré à l'endroit de la recourante reposant sur la LPP, l'intimée aurait été subrogée dans la position procédurale du cédant (i. e. l'assuré), de sorte que le différend compéterait à l'instance compétente en vertu de l'art. 73 al. 1 LPP. L'intimée ne prétend pas agir par ce mécanisme.</w:t>
      </w:r>
    </w:p>
    <w:p>
      <w:r>
        <w:t>En réalité, la demanderesse se réfère aux règles de coordination qui ont été instituées en droit des assurances sociales pour éviter la surindemnisation (cf. art. 63 ss LPGA). Il faut en déduire que le titre juridique qui sous-tend l'action en justice qu'elle a exercée appartient au domaine du droit public. Quand bien même devrait-on qualifier de mixte l'action qu'elle a ouverte, il conviendrait d'empêcher que survienne une scission des voies de droit à disposition. Or les droits de recours, dont bénéficient les assurances privées ou sociales, contre des institutions de prévoyance enveloppantes doivent être qualifiés entièrement de conflits de droit public, car ils relèvent de normes du droit des assurances sociales, lequel droit constitue une branche du droit public. Il n'importe à cet égard que la querelle porte en partie sur des prestations surobligatoires qui, en elles-mêmes, devraient être classées dans le droit privé.</w:t>
      </w:r>
    </w:p>
    <w:p>
      <w:r>
        <w:t>En définitive, le présent litige appartient donc au droit public. La IIe Cour de droit social du Tribunal fédéral a approuvé cette qualification dans la procédure de coordination d'après l'art. 23 al. 2 LTF. Partant, le dossier devra être transmis à l'autorité judiciaire compétente en droit neuchâtelois pour statuer sur des litiges de cette nature.</w:t>
      </w:r>
    </w:p>
    <w:p>
      <w:r>
        <w:rPr>
          <w:b/>
        </w:rPr>
        <w:t>E. 4</w:t>
      </w:r>
    </w:p>
    <w:p>
      <w:r>
        <w:t>Il suit de là qu'en se déclarant compétente à raison de la matière pour connaître du litige opposant les parties, la cour cantonale a violé le droit fédéral.</w:t>
      </w:r>
    </w:p>
    <w:p>
      <w:r>
        <w:t>En conséquence, le recours en matière civile doit être admis et le jugement attaqué doit être annulé. La cause sera retournée à l'autorité cantonale pour qu'elle la transmette à l'instance judiciaire compétente.</w:t>
      </w:r>
    </w:p>
    <w:p>
      <w:r>
        <w:t>La solution étant inversée par rapport à celle retenue par la Cour civile, les frais et dépens de la procédure cantonale, par respectivement 1'100 fr. et 1'500 fr., sont mis à la charge de l'intimée (art. 67 LTF).</w:t>
      </w:r>
    </w:p>
    <w:p>
      <w:r>
        <w:t>Les frais judiciaires et les dépens de l'instance fédérale seront mis à la charge de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