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20091022_d_ch_b_01 vom 22. Oktober 2009</w:t>
      </w:r>
    </w:p>
    <w:p>
      <w:r>
        <w:t>FINMA Versicherungsrecht, 2009-10-22, DE</w:t>
      </w:r>
    </w:p>
    <w:p>
      <w:r>
        <w:rPr>
          <w:b/>
        </w:rPr>
        <w:t xml:space="preserve">Quelle: </w:t>
      </w:r>
      <w:r>
        <w:t>https://mcp.opencaselaw.ch/entscheid/finma_versicherungsrecht_20091022_d_ch_b_01</w:t>
      </w:r>
    </w:p>
    <w:p>
      <w:r>
        <w:t>FR: FINMA_VERSICHERUNGSRECHT 20091022_d_ch_b_01 du 22 octobre 2009</w:t>
      </w:r>
    </w:p>
    <w:p>
      <w:r>
        <w:t>IT: FINMA_VERSICHERUNGSRECHT 20091022_d_ch_b_01 del 22 ottobre 2009</w:t>
      </w:r>
    </w:p>
    <w:p>
      <w:pPr>
        <w:pStyle w:val="Heading2"/>
      </w:pPr>
      <w:r>
        <w:t>Erwägungen</w:t>
      </w:r>
    </w:p>
    <w:p>
      <w:r>
        <w:rPr>
          <w:b/>
        </w:rPr>
        <w:t>E. 1.1</w:t>
      </w:r>
    </w:p>
    <w:p>
      <w:r>
        <w:t>Auf die Beschwerde in Zivilsachen kann grundsätzlich eingetreten werden, da sie unter Einhaltung der gesetzlichen Frist (Art. 100 Abs. 1 BGG) und Form (Art. 42 BGG) von der mit ihren Anträgen unter- liegenden Partei (Art. 76 Abs. 1 BGG) eingereicht wurde und sich gegen einen von einer letzten kantonalen Instanz (Art. 75 BGG) ge- fällten Endentscheid (Art. 90 BGG) betreffend eine Zivilstreitigkeit mit einem Streitwert von mindestens CHF 30'000.- (Art. 74 Abs. 1 lit. b BGG) richtet.</w:t>
      </w:r>
    </w:p>
    <w:p>
      <w:r>
        <w:rPr>
          <w:b/>
        </w:rPr>
        <w:t>E. 1.2</w:t>
      </w:r>
    </w:p>
    <w:p>
      <w:r>
        <w:t>Das Bundesgericht legt seinem Urteil den Sachverhalt zugrunde, den die Vorinstanz festgestellt hat (Art. 105 Abs. 1 BGG). Die Fest- stellung des Sachverhaltes kann nur gerügt werden, wenn sie offen- sichtlich unrichtig ist oder auf einer Rechtsverletzung im Sinne von Art. 95 BGG beruht und wenn die Behebung des Mangels für den Ausgang des Verfahrens entscheidend sein kann (Art. 97 Abs. 1 BGG). "Offensichtlich unrichtig" bedeutet dabei "willkürlich" (BGE 133 11 249 E. 1.2.2 S. 252). Der Beschwerdeführer, der die Sachverhalts- feststellungen der Vorinstanz anfechten will, kann sich nicht damit be- gnügen, den bestrittenen Feststellungen eigene tatsächliche Behaup- 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(BGE 133 II 249 E. 1.4.3 S. 254 f.; 133 III 462 E. 2.4 S. 466 f.). Auf die Beschwerde ist nicht einzutreten, soweit der Beschwerdeführer darin Kritik an den tatsächlichen Feststellungen der Vorinstanz übt, ohne diesen Anforderungen gerecht zu werden.</w:t>
      </w:r>
    </w:p>
    <w:p>
      <w:r>
        <w:rPr>
          <w:b/>
        </w:rPr>
        <w:t>E. 2.1</w:t>
      </w:r>
    </w:p>
    <w:p>
      <w:r>
        <w:t>Gemäss Art. 4 Abs. 1 des Bundesgesetzes vom 2. April 1908 über den Versicherungsvertrag (Versicherungsvertragsgesetz, VVG; SR 221.229.1) hat der Antragsteller dem Versicherer an Hand eines Fragebogens oder auf sonstiges schriftliches Befragen alle für die Beurteilung der Gefahr erheblichen Tatsachen, soweit und so wie sie ihm beim Vertragsabschlüsse bekannt sind oder bekannt sein müssen, schriftlich mitzuteilen. Die Anzeigepflicht des Antragstellers weist keinen umfassenden Charakter auf. Sie beschränkt sich vielmehr auf die Angabe jener Gefahrstatsachen, nach denen der Versicherer aus- Seite 4</w:t>
      </w:r>
    </w:p>
    <w:p>
      <w:r>
        <w:t>drücklich und in unzweideutiger Art gefragt hat (BGE 134 III 511 E. 3.3.2 S. 513). Die Mitteilung der Gefahrentatsachen durch den An- tragsteller unterliegt den Formvorschriften von Art. 13 f. OR (BGE 52 II 297 E. 1). Der Antragsteller soll damit vor Übereilung, Unachtsam- keit und Sorglosigkeit geschützt werden. Um der Schriftform zu genü- gen, muss der Antragsteller die Deklaration grundsätzlich eigenhändig unterschreiben (URS CH. NEF, in: Basler Kommentar, Bundesgesetz über den Versicherungsvertrag, 2001, N. 29 zu Art. 4 VVG; ANDREA KIEFER, Anzeigepflichtverletzung nach VVG de lege lata und de lege ferenda; in: Festgabe für Anton K. Schnyder zum 50. Geburtstag, 2002, S. 131 ff., 136). Die beim Vertragsschluss unterzeichnete Risikodeklaration bleibt - sofern sie zeitlich nicht limitiert ist - bei Änderungen dieses Vertrages weiterhin gültig (BGE 132 III 264 E. 2). Schliessen die Parteien dagegen einen neuen Vertrag ab, so hat der Antragsteller grundsätzlich eine neue Risikodeklaration abzugeben (vgl. BGE 132 III 264 E. 2.3 S. 267).</w:t>
      </w:r>
    </w:p>
    <w:p>
      <w:r>
        <w:rPr>
          <w:b/>
        </w:rPr>
        <w:t>E. 2.2</w:t>
      </w:r>
    </w:p>
    <w:p>
      <w:r>
        <w:t>Vor dem Kantonsgericht machte der Beschwerdeführer geltend, er habe mit der Beschwerdegegnerin fünf Verträge mit je eigenen und vollständigen Versicherungsanträgen abgeschlossen. Im Zeitpunkt des Unfalls vom 21. Oktober 2001 sei der Versicherungsantrag vom 22. Juni 1999 bedeutungslos gewesen, weil er durch den Antrag vom 27. April 2001 ersetzt worden sei. Dieser Antrag sei jedoch vom Be- schwerdeführer nicht unterzeichnet worden und könne ihm daher nicht als Anzeigepflichtverletzung angelastet werden.</w:t>
      </w:r>
    </w:p>
    <w:p>
      <w:r>
        <w:rPr>
          <w:b/>
        </w:rPr>
        <w:t>E. 2.3</w:t>
      </w:r>
    </w:p>
    <w:p>
      <w:r>
        <w:t>Das Kantonsgericht kam zum Ergebnis, nach Treu und Glauben seien die Erklärungen der Parteien so zu verstehen, dass diese ledig- lich Vertragsänderungen gewollt hätten. Als Eventualbegründung führ- te das Kantonsgericht aus, selbst wenn fünf Versicherungsverträge vorliegen würden, könne der Beschwerdeführer daraus nichts zu seinen Gunsten ableiten. Zwar treffe zu, dass er die Risikodeklara- tionen der Anträge vom 16. Februar 2000 und vom 27. April 2001 nicht unterzeichnet habe. Indessen habe er die Versicherungspolice vom 1. Mai 2001 erhalten, die seinen Vater als häufigsten Fahrzeugführer der Personenwagen BMW 325i und Opel Kadett 13001 GL aufführe. Auch werde unter der Rubrik "Versicherungsvertragsgesetz (VVG), Art. 12" vermerkt, stimme der Inhalt der Police oder der Nachträge zu derselben mit den getroffenen Vereinbarungen nicht überein, so habe der Versicherungsnehmer binnen vier Wochen nach Empfang der Ur- kunde deren Berichtigung zu verlangen, widrigenfalls ihr Inhalt als von ihm genehmigt gelte. Da der Beschwerdeführer keine Berichtigung verlangt habe, gelte der Inhalt dieser Versicherungspolice als geneh- Seite 5</w:t>
      </w:r>
    </w:p>
    <w:p>
      <w:r>
        <w:t>migt und werde vom Beschwerdeführer bestätigt, dass sein Vater häu- figster Fahrzeugführer der beiden erwähnten Personenwagen sei.</w:t>
      </w:r>
    </w:p>
    <w:p>
      <w:r>
        <w:rPr>
          <w:b/>
        </w:rPr>
        <w:t>E. 2.4</w:t>
      </w:r>
    </w:p>
    <w:p>
      <w:r>
        <w:t>Der Beschwerdeführer rügt, das Kantonsgericht sei zu Unrecht von blossen Vertragsanpassungen ausgegangen. Bezüglich der Even- tualbegründung macht er geltend, das Kantonsgericht übersehe, dass bezüglich der Risikodeklaration die Angaben im Antrag und nicht jene in der Police wesentlich seien. Fehle bei einem Antrag, wie vorliegend, die Unterschrift, könne daraus keine Anzeigepflichtverletzung resultie- ren, da die Risikodeklaration dem Versicherten nicht anrechenbar sei.</w:t>
      </w:r>
    </w:p>
    <w:p>
      <w:r>
        <w:rPr>
          <w:b/>
        </w:rPr>
        <w:t>E. 2.5</w:t>
      </w:r>
    </w:p>
    <w:p>
      <w:r>
        <w:t>Zutreffend ist, dass der Antragsteller seine Anzeige von Gefahren- tatsachen zur Erfüllung der Schriftform grundsätzlich zu unterschrei- ben hat und sich der Versicherer daher in der Regel nicht mit einer mündlichen Beantwortung der Fragen begnügen darf (E. 2.1 hiervor). Im vorliegenden Fall ist jedoch zu beachten, dass in den nicht unter- zeichneten Anträgen vom 16. Februar 2000 und 27. April 2001 die An- gaben über den häufigsten Fahrzeuglenker aus den bisherigen vom Beschwerdeführer unterzeichneten Anträgen übernommen wurden, was für ihn aufgrund der ihm zugestellten Police erkennbar war. Indem er keine Berichtigung verlangte, hat er bei der Beschwerdegegnerin das berechtigte Vertrauen erweckt, er sei mit der der weiteren Geltung der bisherigen Angaben über den häufigsten Fahrzeuglenker einver- standen. Unter diesen Umständen ist die spätere Berufung des Be- schwerdeführers auf die fehlende Unterzeichnung der letzten beiden Anträge als widersprüchlich und rechtsmissbräuchlich zu qualifizieren, zumal er die ersten drei Anträge mit denselben Angaben unterzeich- nete und damit insoweit der Schutzzweck der Schriftform gewahrt wur- de. Das Handelsgericht hat demnach kein Bundesrecht verletzt, wenn es annahm, der Beschwerdeführer könne sich - selbst, wenn von fünf Verträgen ausgegangen würde - nicht mit Erfolg auf die fehlende Unterzeichnung der letzen beiden Anträge berufen. Demnach ist die Erwägung des Kantonsgerichts, wonach von blossen Vertragsanpas- sungen auszugehen sei, nicht entscheiderheblich. Auf die dagegen gerichtete Kritik des Beschwerdeführers ist deshalb nicht einzutreten.</w:t>
      </w:r>
    </w:p>
    <w:p>
      <w:r>
        <w:rPr>
          <w:b/>
        </w:rPr>
        <w:t>E. 3.1</w:t>
      </w:r>
    </w:p>
    <w:p>
      <w:r>
        <w:t>Wenn der Anzeigepflichtige beim Abschlüsse der Versicherung eine erhebliche Gefahrentatsache, die er kannte oder kennen musste, unrichtig mitgeteilt oder verschwiegen hat, so ist der Versicherer an den Vertrag nicht gebunden, wenn er binnen vier Wochen, nachdem er von der Verletzung der Anzeigepflicht Kenntnis erhalten hat, vom Vertrage zurücktritt (Art. 6 VVG in der bis Ende 2005 gültig gewese- Seite 6</w:t>
      </w:r>
    </w:p>
    <w:p>
      <w:r>
        <w:t>nen Fassung). Dieses Rücktrittsrecht setzt eine Verletzung der An- zeigepflicht gemäss Art. 4 VVG voraus (vgl. BGE 134 III 511 E. 3.3.2 S. 513 f.). Nach der Rechtsprechung beginnt die Frist von vier Wochen zur Erklärung des Vertragsrücktritts nach Art. 6 VVG zu laufen, sobald der Versicherer zuverlässige Kunde von Tatsachen erhält, aus denen sich der sichere Schluss auf eine Verletzung der Anzeigepflicht ziehen lässt. Blosse Vermutungen, die eine Verletzung der Anzeigepflicht als mehr oder weniger wahrscheinlich erscheinen lassen, genügen nicht (BGE 119 V 283 E. 5a S. 287 f.; Urteil 5C.50/2007 vom 2. Oktober 2007 E. 2; mit Hinweisen). In der Lehre wird die Meinung vertreten, der Versicherer sei nicht verpflichtet, bei einem allgemeinen Verdacht einer Anzeigepflichtverletzung, entsprechende Nachforschungen an- zustellen. Dazu sei er nur gehalten, wenn sich Verdachtsgründe kon- kretisierten (NEF, a.a.O., N. 23 zu Art. 6 VVG).</w:t>
      </w:r>
    </w:p>
    <w:p>
      <w:r>
        <w:rPr>
          <w:b/>
        </w:rPr>
        <w:t>E. 3.2</w:t>
      </w:r>
    </w:p>
    <w:p>
      <w:r>
        <w:t>Das Kantonsgericht bezog sich auf diese Lehrmeinung und erwog, entgegen der Annahme des Beschwerdeführers gehe es nicht an, einem zwanzigjährigen Neulenker serbischer Herkunft ohne konkrete Hinweise eine Anzeigepflichtverletzung zu unterstellen. Die Beschwer- degegnerin sei daher nicht verpflichtet gewesen, entsprechende Ab- klärungen zu treffen. Sie habe vor der Befragung des Vaters des Be- schwerdeführers vom 9. Februar 2005 die Verletzung der Anzeige- pflicht des Beschwerdeführers nicht kennen können.</w:t>
      </w:r>
    </w:p>
    <w:p>
      <w:r>
        <w:rPr>
          <w:b/>
        </w:rPr>
        <w:t>E. 3.3</w:t>
      </w:r>
    </w:p>
    <w:p>
      <w:r>
        <w:t>Der Beschwerdeführer gibt an, die Beschwerdegegnerin habe seit dem ersten Antrag vom 25. Mai 1997 Kenntnis von einer Anzeige- pflichtverletzung gehabt. Damit übt er unzulässige Kritik an den vorinstanzlichen Feststellungen, da er nicht darlegt, inwiefern die abweichende Feststellung des Kantonsgerichts unhaltbar sein soll (vgl. E. 1.2).</w:t>
      </w:r>
    </w:p>
    <w:p>
      <w:r>
        <w:rPr>
          <w:b/>
        </w:rPr>
        <w:t>E. 3.4</w:t>
      </w:r>
    </w:p>
    <w:p>
      <w:r>
        <w:t>Weiter bringt der Beschwerdeführer vor, er habe als Neulenker unter 20 Jahren erstmals ein Fahrzeug versichert und seinen Vater als häufigsten Lenker deklariert. Bereits aufgrund dieser Sachlage habe die Beschwerdegegnerin den Verdacht einer Anzeigepflichtverletzung haben und eine solche überprüfen müssen. Die Beschwerdegegnerin habe jedoch erst nach Eintritt des Schadensfalls vom 21. Oktober 2001 mit Leistungen ab einer bestimmten Höhe eine Überprüfung der Angaben vorgenommen, mithin einzig aufgrund wirtschaftlicher Über- legungen. Würde dies zugelassen, könnte ein Versicherer auch bei Verdachtsgründen eine Prüfung unterlassen und eine solche erst vor- nehmen, wenn ein wirtschaftlich erheblicher Schaden entstehe, um Seite 7</w:t>
      </w:r>
    </w:p>
    <w:p>
      <w:r>
        <w:t>sich dann mittels Geltendmachung einer Anzeigepflichtverletzung von seiner Leistungspflicht zu befreien.</w:t>
      </w:r>
    </w:p>
    <w:p>
      <w:r>
        <w:rPr>
          <w:b/>
        </w:rPr>
        <w:t>E. 3.5</w:t>
      </w:r>
    </w:p>
    <w:p>
      <w:r>
        <w:t>Der Umstand, dass ein junger Versicherter eine ältere Person als häufigsten Fahrzeugführer angibt, mag generell den Verdacht einer möglichen Anzeigepflichtverletzung wecken. Dieser Verdacht gründet jedoch auf einer allgemeinen Vermutung. Dass im vorliegenden Fall konkrete Verdachtsgründe auf eine Anzeigepflichtverletzung hätten schliessen lassen, ergibt sich nicht aus dem vom Kantonsgericht fest- gestellten Sachverhalt. Demnach hat es kein Bundesrecht verletzt, wenn es annahm, die Beschwerdegegnerin hätte die Anzeigepflicht- verletzung nicht bereits vor der Befragung des Vaters des Beschwer- deführers abklären und erkennen müssen.</w:t>
      </w:r>
    </w:p>
    <w:p>
      <w:r>
        <w:rPr>
          <w:b/>
        </w:rPr>
        <w:t>E. 4.1</w:t>
      </w:r>
    </w:p>
    <w:p>
      <w:r>
        <w:t>Gemäss der bis Ende 2005 gültigen Fassung von Art. 6 VVG war für das Rücktrittsrecht des Versicherers bei einer Anzeigepflichtverlet- zung ein Kausalzusammenhang zwischen der verschwiegenen Ge- fahrentatsache und dem Schaden nicht erforderlich (BGE 92 II 342 E. 4; Urteil 5C.262/2006 vom 28. Mai 2008 E. 4.2, pubi, in: SJ 2008 I S. 400 f.; mit weiteren Hinweisen). Dies wurde in der Doktrin als zu hart kritisiert, weshalb der Gesetzgeber in der am 1. Januar 2006 in Kraft getretenen Fassung von Art. 6 VVG dem Versicherer bei einer Anzeigepflichtverletzung des Versicherten nur dann Leistungsfreiheit gewährte, wenn ein Kausalzusammenhang zwischen der nicht oder nicht richtig angezeigten Gefahrentatsache und einem späteren Scha- den besteht (vgl. Art. 6 Abs. 3 VVG; Botschaft zu einem Gesetz betref- fend die Aufsicht über Versicherungsunternehmen und zur Änderung des Bundesgesetzes über den Versicherungsvertrag vom 9. Mai 2003, BBI. 2002 S. 3789 ff., 3805 f.).</w:t>
      </w:r>
    </w:p>
    <w:p>
      <w:r>
        <w:rPr>
          <w:b/>
        </w:rPr>
        <w:t>E. 4.2</w:t>
      </w:r>
    </w:p>
    <w:p>
      <w:r>
        <w:t>Das Kantonsgericht ging davon aus, die von der Beschwerdegeg- nerin geltend gemachte Anzeigepflichtverletzung sei nach dem alten bzw. nicht nach dem per 1. Januar 2006 revidierten VVG zu beurtei- len. Soweit sich der Beschwerdeführer auf die revidierte Version des Art. 6 VVG berufe, könne er daher nicht gehört werden, denn nach dem anwendbaren altrechtlichen Art. 6 VVG sei ein Kausalzusammen- hang zwischen unrichtig angezeigter erheblicher Gefahrentatsache und Leistungspflicht nicht erforderlich. Daran ändere nichts, dass das alte Recht von einem Teil der Lehre scharf kritisiert worden sei.</w:t>
      </w:r>
    </w:p>
    <w:p>
      <w:r>
        <w:rPr>
          <w:b/>
        </w:rPr>
        <w:t>E. 4.3</w:t>
      </w:r>
    </w:p>
    <w:p>
      <w:r>
        <w:t>Der Beschwerdeführer wendet ein, vorliegend sei kein Kausal- zusammenhang zwischen der behaupteten Anzeigepflichtverletzung Seite 8</w:t>
      </w:r>
    </w:p>
    <w:p>
      <w:r>
        <w:t>und dem eingetretenen Schaden gegeben, da der Unfall durch den als häufigsten Lenker genannten C. verursacht worden sei. Damit sei im Ergebnis äusserst stossend, wenn der Beschwerdeführer aufgrund der unangemessenen formellen Strenge des altrechtlichen und viel kritisierten Versicherungsvertragsgesetzes rückerstattungs- pflichtig würde, währen dieselbe Strenge im Hinblick auf den Rücktritt der Beschwerdegegnerin von den Vorinstanzen gerade nicht angewendet worden sei.</w:t>
      </w:r>
    </w:p>
    <w:p>
      <w:r>
        <w:rPr>
          <w:b/>
        </w:rPr>
        <w:t>E. 4.4</w:t>
      </w:r>
    </w:p>
    <w:p>
      <w:r>
        <w:t>Mit diesen Ausführungen macht der Beschwerdeführer nicht gel- tend, das Kantonsgericht habe zu Unrecht die altrechtliche Fassung von Art. 6 VVG angewendet. Er bestreitet auch nicht, dass diese keinen Kausalzusammenhang zwischen der Anzeigepflichtverletzung und dem eingetretenen Schaden verlangte. Vielmehr geht er dem Sinne nach davon aus, die Berufung auf das alte Recht sei rechts- missbräuchlich, weil dieses in der Lehre als zu streng kritisiert und vom Gesetzgeber deshalb geändert worden sei. Dabei lässt der Be- schwerdeführer ausser Acht, dass der strafrechtliche Grundsatz der Anwendung des milderen Rechts (vgl. Art. 2 Abs. 2 StGB) im Zivilrecht nicht gilt. Nach diesem Recht ist eine Norm grundsätzlich auch dann auf altrechtliche Tatbestände anzuwenden, wenn eine nachträglich in Kraft getretene Regelung für eine Partei zu Lasten der anderen eine günstigere Rechtsfolge vorsieht. Gründe für eine Abweichung von die- ser Regel sind nicht ersichtlich.</w:t>
      </w:r>
    </w:p>
    <w:p>
      <w:r>
        <w:rPr>
          <w:b/>
        </w:rPr>
        <w:t>E. 5</w:t>
      </w:r>
    </w:p>
    <w:p>
      <w:r>
        <w:t>Nach dem Gesagten ist die Beschwerde abzuweisen, soweit darauf einzutreten ist. Bei diesem Ausgang des Verfahrens wird der Be- schwerdeführer für das bundesgerichtliche Verfahren kosten- und ent- schädigungspflichtig (Art. 66 Abs. 1 und Art. 68 Abs. 2 BGG). Seite'9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