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20090915_d_lu_o_01 vom 15. September 2009</w:t>
      </w:r>
    </w:p>
    <w:p>
      <w:r>
        <w:t>FINMA Versicherungsrecht, 2009-09-15, DE</w:t>
      </w:r>
    </w:p>
    <w:p>
      <w:r>
        <w:rPr>
          <w:b/>
        </w:rPr>
        <w:t xml:space="preserve">Quelle: </w:t>
      </w:r>
      <w:r>
        <w:t>https://mcp.opencaselaw.ch/entscheid/finma_versicherungsrecht_20090915_d_lu_o_01</w:t>
      </w:r>
    </w:p>
    <w:p>
      <w:r>
        <w:t>FR: FINMA_VERSICHERUNGSRECHT 20090915_d_lu_o_01 du 15 septembre 2009</w:t>
      </w:r>
    </w:p>
    <w:p>
      <w:r>
        <w:t>IT: FINMA_VERSICHERUNGSRECHT 20090915_d_lu_o_01 del 15 settembre 2009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09 30 Luzern, 15. September 2009</w:t>
      </w:r>
    </w:p>
    <w:p>
      <w:r>
        <w:t>Für die I. Kammer des Obergerichts Der Präsident: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