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20090727_d_lu_o_01 vom 27. Juli 2009</w:t>
      </w:r>
    </w:p>
    <w:p>
      <w:r>
        <w:t>FINMA Versicherungsrecht, 2009-07-27, DE</w:t>
      </w:r>
    </w:p>
    <w:p>
      <w:r>
        <w:rPr>
          <w:b/>
        </w:rPr>
        <w:t xml:space="preserve">Quelle: </w:t>
      </w:r>
      <w:r>
        <w:t>https://mcp.opencaselaw.ch/entscheid/finma_versicherungsrecht_20090727_d_lu_o_01</w:t>
      </w:r>
    </w:p>
    <w:p>
      <w:r>
        <w:t>FR: FINMA_VERSICHERUNGSRECHT 20090727_d_lu_o_01 du 27 juillet 2009</w:t>
      </w:r>
    </w:p>
    <w:p>
      <w:r>
        <w:t>IT: FINMA_VERSICHERUNGSRECHT 20090727_d_lu_o_01 del 27 luglio 2009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09 22 wusst, dass er trotz der behaupteten Unzumutbarkeit der Arbeitsstelle in _________ wieder vollumfänglich die anerbotene Arbeitsstelle in Luzern und nach Kündigung des Arbeitsver- hältnisses am 1. Januar 2007 irgendwo eine andere hätte einnehmen können (OG amtl.Bel. 9 S. 8 f. Ziff. ad 9).</w:t>
      </w:r>
    </w:p>
    <w:p>
      <w:r>
        <w:t>7.4. Zu beurteilen ist die Leistungspflicht der Beklagten aufgrund einer Einzelkrankenversiche- rung nach VVG (AG kläg.Bel. 1, Klage S. 2 Ziff. 2). Diese besteht bei nachgewiesener Ar- beitsunfähigkeit infolge Krankheit. Das Taggeld wird ab einer Arbeitsunfähigkeit von mindes- tens 25 % verhältnismässig zu dem durch den Arzt bescheinigten Grad der Arbeitsunfähig- keit ausbezahlt (AG kläg.Bel. 1 Art. 1 und 8). Offenbar bezahlte die Beklagte bis 31. Dezember 2006 als Kollektivversichererin dem Kläger Taggelder, ohne die Schadenmin- derungspflicht des Klägers reklamiert und Leistungskürzungen angedroht zu haben.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