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20090715_f_ch_b_01 vom 15. Juli 2009</w:t>
      </w:r>
    </w:p>
    <w:p>
      <w:r>
        <w:t>FINMA Versicherungsrecht, 2009-07-15, FR</w:t>
      </w:r>
    </w:p>
    <w:p>
      <w:r>
        <w:rPr>
          <w:b/>
        </w:rPr>
        <w:t xml:space="preserve">Quelle: </w:t>
      </w:r>
      <w:r>
        <w:t>https://mcp.opencaselaw.ch/entscheid/finma_versicherungsrecht_20090715_f_ch_b_01</w:t>
      </w:r>
    </w:p>
    <w:p>
      <w:r>
        <w:t>FR: FINMA_VERSICHERUNGSRECHT 20090715_f_ch_b_01 du 15 juillet 2009</w:t>
      </w:r>
    </w:p>
    <w:p>
      <w:r>
        <w:t>IT: FINMA_VERSICHERUNGSRECHT 20090715_f_ch_b_01 del 15 luglio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16 juin 2009, le Tribunal cantonal des assurances sociales du canton de Genève a admis l'action en reconnaissance de dette introduite le 2 octobre 2008 par Y. SA contre X. , laquelle tendait au paiement de la somme de 18'806 fr.35 correspondant au remboursement de prestations d'assurance versées depuis le 6 mai 2007 par ladite assurance au précité sur la base de différentes assurances complémentaires soumises à la loi sur le contrat d'assurance du 2 avril 1908 (LCA). Cette autorité a ainsi condamné X. à payer à Y. SA la somme en cause et prononcé la mainlevée de l'opposition à la poursuite notifiée au premier. Le Tribunal cantonal des assurances a considéré que X. , qui a transmis à l'assurance non pas la facture originale d'un médecin, mais une facture qu'il avait lui-même établie indiquant un montant dépassant de plus de l'OOO fr. la facture originelle, a tenté d'induire en erreur Y. SA au sens de l'art. 40 LCA, de sorte que cette dernière est intégralement déliée de son obligation contractuelle.</w:t>
      </w:r>
    </w:p>
    <w:p>
      <w:r>
        <w:rPr>
          <w:b/>
        </w:rPr>
        <w:t>E. 2</w:t>
      </w:r>
    </w:p>
    <w:p>
      <w:r>
        <w:t>Le 29 juin 2009, X. a adressé une lettre d'une page au Tribunal fédéral, par laquelle il a émis le souhait de « former un recours et faire une opposition formelle à cette décision ». L'intimée et la cour cantonale n'ont pas été invitées à déposer une réponse.</w:t>
      </w:r>
    </w:p>
    <w:p>
      <w:r>
        <w:rPr>
          <w:b/>
        </w:rPr>
        <w:t>E. 3</w:t>
      </w:r>
    </w:p>
    <w:p>
      <w:r>
        <w:t>En l'espèce, vu la valeur litigieuse entrant en ligne de compte pour la procédure fédérale (art. 51 al. 1 let. a et 74 al. 1 let. b LTF), seul le recours constitutionnel subsidiaire, au sens des art. 113 ss LTF, est ouvert.</w:t>
      </w:r>
    </w:p>
    <w:p>
      <w:r>
        <w:rPr>
          <w:b/>
        </w:rPr>
        <w:t>E. 4</w:t>
      </w:r>
    </w:p>
    <w:p>
      <w:r>
        <w:t>Le recours constitutionnel peut être formé pour violation des droits constitutionnels (art. 116 LTF). D'après l'art. 106 al. 2 LTF, applicable par analogie à ce recours (art. 117 LTF), le Tribunal fédéral n'examine la violation d'un droit de rang constitutionnel que si un grief s'y rapportant a été invoqué et motivé de manière détaillée par la partie recourante. Page 2</w:t>
      </w:r>
    </w:p>
    <w:p>
      <w:r>
        <w:t>En l'espèce, le recourant n'élève aucun grief se rapportant à une viola- tion de ses droits constitutionnels. Il se borne à contester l'application de l'art. 40 LCA au différend et déclare s'opposer fermement au remboursement réclamé de 18'806 fr.35, faisant état de son impécu- niosité et de son statut de chômeur. Cette motivation du recours est totalement insuffisante pour qu'il soit possible d'entrer en matière (cf. art. 42 al. 2 LTF). Partant, il convient d'appliquer, par analogie (art. 117 LTF), la procédure simplifiée de l'art. 108 al. 1 LTF. Etant donné les circonstances, il se justifie de renoncer à la perception des frais judiciaires (art. 66 al. 1, 2e phrase, LTF). N'ayant pas été invitée à se déterminer sur le recours, l'intimée n'a pas droit à des dépens (art. 68 al.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