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20090708_f_vd_u_01 vom 8. Juli 2009</w:t>
      </w:r>
    </w:p>
    <w:p>
      <w:r>
        <w:t>FINMA Versicherungsrecht, 2009-07-08, FR</w:t>
      </w:r>
    </w:p>
    <w:p>
      <w:r>
        <w:rPr>
          <w:b/>
        </w:rPr>
        <w:t xml:space="preserve">Quelle: </w:t>
      </w:r>
      <w:r>
        <w:t>https://mcp.opencaselaw.ch/entscheid/finma_versicherungsrecht_20090708_f_vd_u_01</w:t>
      </w:r>
    </w:p>
    <w:p>
      <w:r>
        <w:t>FR: FINMA_VERSICHERUNGSRECHT 20090708_f_vd_u_01 du 8 juillet 2009</w:t>
      </w:r>
    </w:p>
    <w:p>
      <w:r>
        <w:t>IT: FINMA_VERSICHERUNGSRECHT 20090708_f_vd_u_01 del 8 luglio 2009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septembre 2008, lendemain de la réception présumée de la réponse par le conseil de la demanderesse, qui vaut interpellation selon l'article 102 alinéa 1 CO (Spahr, L'intérêt moratoire, conséquence de la demeure, in RVJ 1990 pp. 351 ss, spéc. 356).</w:t>
      </w:r>
    </w:p>
    <w:p>
      <w:r>
        <w:t>VI. Obtenant gain de cause, la défenderesse a droit à de pleins dépens (art. 92 al. 1 CPC), qu'il convient d'arrêter à fr. 4'350.-, savoir :</w:t>
      </w:r>
    </w:p>
    <w:p>
      <w:r>
        <w:t>a) fr. 1'200.- en remboursement de ses frais de justice;</w:t>
      </w:r>
    </w:p>
    <w:p>
      <w:r>
        <w:t>b) fr. 3'000.- à titre de participation aux honoraires de son conseil;</w:t>
      </w:r>
    </w:p>
    <w:p>
      <w:r>
        <w:t>c) fr. 150.- pour les déboursés de celui-ci.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