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20090407_f_ch_b_01 vom 7. April 2009</w:t>
      </w:r>
    </w:p>
    <w:p>
      <w:r>
        <w:t>FINMA Versicherungsrecht, 2009-04-07, FR</w:t>
      </w:r>
    </w:p>
    <w:p>
      <w:r>
        <w:rPr>
          <w:b/>
        </w:rPr>
        <w:t xml:space="preserve">Quelle: </w:t>
      </w:r>
      <w:r>
        <w:t>https://mcp.opencaselaw.ch/entscheid/finma_versicherungsrecht_20090407_f_ch_b_01</w:t>
      </w:r>
    </w:p>
    <w:p>
      <w:r>
        <w:t>FR: FINMA_VERSICHERUNGSRECHT 20090407_f_ch_b_01 du 7 avril 2009</w:t>
      </w:r>
    </w:p>
    <w:p>
      <w:r>
        <w:t>IT: FINMA_VERSICHERUNGSRECHT 20090407_f_ch_b_01 del 7 aprile 2009</w:t>
      </w:r>
    </w:p>
    <w:p>
      <w:pPr>
        <w:pStyle w:val="Heading2"/>
      </w:pPr>
      <w:r>
        <w:t>Erwägungen</w:t>
      </w:r>
    </w:p>
    <w:p>
      <w:r>
        <w:rPr>
          <w:b/>
        </w:rPr>
        <w:t>E. 1.1</w:t>
      </w:r>
    </w:p>
    <w:p>
      <w:r>
        <w:t>Interjeté par la partie qui a succombé dans ses conclusions en paiement (art. 76 al. 1 LTF) et dirigé contre un arrêt final (art. 90 LTF) rendu en matière civile (art. 72 al. 1 LTF) par une autorité cantonale de dernière instance (art. 75 LTF) dans une affaire pécuniaire dont la valeur litigieuse atteint le seuil de 30'000 fr. (art. 74 al. 1 let. b LTF), le recours est en principe recevable, puisqu'il a été déposé dans le délai (art. 46 al. 1 let. c et art. 100 al. 1 LTF) et la forme (art. 42 LTF) prévus par la loi.</w:t>
      </w:r>
    </w:p>
    <w:p>
      <w:r>
        <w:rPr>
          <w:b/>
        </w:rPr>
        <w:t>E. 1.2</w:t>
      </w:r>
    </w:p>
    <w:p>
      <w:r>
        <w:t>Le recours peut être interjeté pour violation du droit, tel qu'il est délimité par les art. 95 et 96 LTF.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 mentation différente de celle de l'autorité précédente (ATF 134 III 102 consid. 1.1 p. 104). Compte tenu de l'exigence de motivation contenue à l'art. 42 al. 1 et 2 LTF, sous peine d'irrecevabilité (art. 108 al. 1 let. b LTF), le Tribunal fédéral n'examine en principe que les griefs invo- qués; il n'est pas tenu de traiter, comme le ferait une autorité de pre- mière instance, toutes les questions juridiques qui se posent, lorsque celles-ci ne sont plus discutées devant lui (ATF 134 III 102 consid. 1.1 p. 105). Il faut observer ici que l'arrêt attaqué est fondé sur une double motivation. La cour cantonale a considéré, d'une part, que l'activité reprochée au recourant n'était pas une activité d'avocat couverte par l'assurance et, d'autre part, que les frais de défense au pénal n'entraient pas dans le cadre des frais qui pouvaient être pris en charge en vertu du contrat conclu. Se conformant à l'exigence de recevabilité posée par la jurisprudence (ATF 133 IV 119 consid. 6.3 p. 120 s.), le recourant a attaqué chacune de ces deux motivations alternatives. Le Tribunal fédéral ne peut entrer en matière sur la violation d'un droit constitutionnel ou sur une question relevant du droit cantonal ou Page 4</w:t>
      </w:r>
    </w:p>
    <w:p>
      <w:r>
        <w:t>intercantonal que si le grief a été invoqué et motivé de manière précise par la partie recourante (art. 106 al. 2 LTF).</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134 V 53 consid. 4.3 p. 63 - ou en violation du droit au sens de l'art. 95 LTF (art. 105 al. 2 LTF). La partie recourante qui entend s'écarter des constatations de l'autori- 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130 III 138 consid. 1.4 p. 140). Une modification de l'état de fait ne peut cependant être demandée que si elle est susceptible d'influer sur le sort de la cause (art. 97 al. 1 LTF). Aucun fait nouveau ni preuve nouvelle ne peut être présenté à moins de résulter de la décision de l'autorité précédente (art. 99 al. 1 LTF).</w:t>
      </w:r>
    </w:p>
    <w:p>
      <w:r>
        <w:rPr>
          <w:b/>
        </w:rPr>
        <w:t>E. 1.4</w:t>
      </w:r>
    </w:p>
    <w:p>
      <w:r>
        <w:t>Le Tribunal fédéral ne peut aller au-delà des conclusions des par- ties (art. 107 al. 1 LTF). Toute conclusion nouvelle est irrecevable (art. 99 al. 2 LTF). Une partie peut cependant - comme c'est le cas en l'espèce - réduire ses prétentions (YVES DONZALLAZ, Loi sur le Tribunal fédéral, 2008, p. 1479 n. 4071). 2.1 Sur plusieurs points, le recourant se plaint d'une constatation manifestement inexacte des faits (au sens des art. 97 al. 1 et 105 al. 2 LTF), ainsi que d'arbitraire (art. 9 Cst.) dans l'appréciation des preuves et l'établissement des faits. Le fondement juridique de ces griefs se confond, puisque la constatation manifestement inexacte des faits dont parlent les art. 97 al. 1 et 105 al. 2 LTF n'est rien d'autre qu'un cas d'arbitraire au sens de l'art. 9 Cst. (ATF 134 V 53 consid. 4.3 p. 63). Il suffit donc de se référer à la notion générale de l'arbitraire (sur sa définition: ATF 134 I 263 consid. 3.1 p. 265 s.). Il faut cependant rappeler qu'une rectification de l'état de fait contenu dans l'arrêt cantonal ne peut être demandée que si elle est susceptible d'influer sur le sort de la cause (art. 97 al. 1 LTF). Dans la définition générale de l'arbitraire, on souligne également qu'il ne suffit pas, pour que la décision attaquée soit annulée, que l'un des éléments qui y Page 5</w:t>
      </w:r>
    </w:p>
    <w:p>
      <w:r>
        <w:t>figure soit arbitraire, il faut encore que la décision apparaisse arbitraire dans son résultat (ATF 134 I 140 consid. 5.4 p. 148, 263 consid. 3.1 p. 266). S'agissant plus précisément de l'appréciation des preuves et de rétablissement des faits, il y a arbitraire lorsque l'autorité ne prend pas en compte, sans aucune raison sérieuse, un élément de preuve propre à modifier la décision, lorsqu'elle se trompe manifestement sur le sens et la portée de cet élément, ou encore lorsque, en se fondant sur les éléments recueillis, elle en tire des constatations insoutenables (ATF 129 I 8 consid. 2.1 p. 9). 2.2 Le recourant reproche à la cour cantonale d'avoir arbitrairement méconnu qu'il avait exercé une activité de conseil juridique en avril 1997. Ce grief est dépourvu de tout fondement, la cour cantonale, sous lettre E à la page 5 de l'arrêt attaqué, a mentionné l'activité de conseil déployée en mars ou avril 1997. L'état de fait cantonal n'est donc pas lacunaire. Savoir si l'activité déployée par le recourant, telle qu'elle a été constatée en fait, entre ou non dans la couverture d'assurance est une question de droit, et non de fait. 2.3 Le recourant reproche à la cour cantonale d'avoir arbitrairement méconnu le fait que son avocat s'était également occupé du retrait de l'action civile; il considère qu'il était également arbitraire de mettre en doute qu'il ait payé les honoraires facturés par son avocat. Ces points de fait ne peuvent modifier l'issue du litige que si l'on admet - contrairement à la cour cantonale - que l'activité pour laquelle le recourant était recherché au civil était englobée par la couverture d'assurance. Ce n'est que dans cette hypothèse qu'il y aurait lieu de revenir sur ce grief. Si ces faits restent sans pertinence, il n'y a pas lieu de permettre au recourant de répliquer comme il l'a sollicité par lettre du 27 février 2009. 2.4 Le recourant reproche à la cour cantonale d'avoir arbitrairement retenu qu'il n'avait pas contrôlé le nom de l'ayant droit économique indiqué sur la formule A lors de l'ouverture des comptes. Ce grief est également dépourvu de tout fondement. Dans les deux passages où elle évoque cette question (lettre F p. 6 et consid. 3.3 p. 16), la cour cantonale a relevé que le recourant n'avait pas procédé Page 6</w:t>
      </w:r>
    </w:p>
    <w:p>
      <w:r>
        <w:t>à un contrôle systématique en ce sens qu'il a signé un exemplaire en blanc. C'est exactement ce que décrit le recourant lui-même, puisqu'il admet qu'il n'avait pas remarqué qu'une formule A ne mentionnait pas l'identité de l'ayant droit économique. On ne voit donc pas qu'il y ait lieu de rectifier l'état de fait attaqué. 2.5 Le recourant reproche à la cour cantonale d'avoir arbitrairement retenu qu'il avait ordonné le versement de commissions pour plusieurs millions de francs. Cette question n'est pas de nature à influer sur le sort de la cause, puisqu'il suffit de constater que c'est bien en qualité d'administrateur que le recourant a ouvert des comptes bancaires et signé des formu- laires A. Il n'y a donc pas lieu d'examiner ce grief.</w:t>
      </w:r>
    </w:p>
    <w:p>
      <w:r>
        <w:rPr>
          <w:b/>
        </w:rPr>
        <w:t>E. 3.1</w:t>
      </w:r>
    </w:p>
    <w:p>
      <w:r>
        <w:t>Le recourant soutient qu'il a exercé une activité mixte, relevant en partie de la profession d'avocat, de sorte que sa responsabilité civile pour cette activité est couverte par l'assurance. La cour cantonale a retenu au contraire que l'activité dommageable avait été exercée en tant qu'organe de gestion des sociétés offshore étrangères et qu'elle n'était pas couverte par le contrat d'assurance.</w:t>
      </w:r>
    </w:p>
    <w:p>
      <w:r>
        <w:rPr>
          <w:b/>
        </w:rPr>
        <w:t>E. 3.2</w:t>
      </w:r>
    </w:p>
    <w:p>
      <w:r>
        <w:t>Selon l'art. 33 LCA, l'assureur répond, sauf disposition contraire de la loi, de tous les événements qui présentent le caractère du risque contre les conséquences duquel l'assurance a été conclue, à moins que le contrat n'exclut certains événements d'une manière précise, non équivoque. Les dispositions d'un contrat d'assurance, de même que les conditions générales qui ont été expressément incorporées, doivent être interpré- tées selon les mêmes principes que les autres dispositions contrac- tuelles.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qui lie en principe le Tribunal fédéral conformément à l'art. 105 LTF. Si la volonté réelle des parties ne peut pas être établie ou si leurs volontés intimes divergent, le juge doit interpréter les déclarations faites et les compor- tements selon la théorie de la confiance; il doit donc rechercher com- ment une déclaration ou une attitude pouvait être comprise de bonne Page 7</w:t>
      </w:r>
    </w:p>
    <w:p>
      <w:r>
        <w:t>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(art. 106 al. 1 LTF); cependant, pour trancher cette question, il doit se fonder sur le contenu de la manifestation de volonté et sur les circonstances, dont la constatation relève du fait. Lorsqu'un assureur, au moment de conclure, présente des conditions générales, il mani- feste la volonté de s'engager selon les termes de ces conditions; lorsqu'une volonté réelle concordante n'a pas été constatée, il faut se demander comment le destinataire de cette manifestation de volonté pouvait la comprendre de bonne foi. L'art. 33 LCA précise que c'est à l'assureur qu'il incombe de délimiter avec précision la portée de l'engagement qu'il entend prendre (ATF 133 III 675 consid. 3.3 p. 681 s. et les références citées).</w:t>
      </w:r>
    </w:p>
    <w:p>
      <w:r>
        <w:rPr>
          <w:b/>
        </w:rPr>
        <w:t>E. 3.3</w:t>
      </w:r>
    </w:p>
    <w:p>
      <w:r>
        <w:t>En l'espèce, le contrat concerne l'activité d'avocat; les conditions générales précisent qu'il fallait une convention spéciale - inexistante en l'espèce - pour couvrir une activité d'administrateur de société ou de gérant d'une entité étrangère. Le recourant, qui est lui-même juriste, a certainement compris correctement le texte clair de ces dispositions contractuelles. A supposer que l'on ait un doute à ce sujet, une interprétation selon la théorie de la confiance ne pourrait manifestement pas aboutir à une conclusion différente, la définition de l'objet du contrat étant claire et précise. Dès lors que le contrat (et les conditions générales qui sont incorpo- rées) font une distinction claire entre l'activité d'avocat (qui est couverte par l'assurance) et l'activité d'administrateur (qui ne l'est pas), il faut nécessairement en déduire que les parties avaient en vue l'activité traditionnelle de l'avocat. Peu importe en conséquence qu'il soit plus ou moins fréquent que des avocats se livrent à d'autres activités professionnelles en faisant valoir leur titre d'avocat ou que des connaissances juridiques soient plus ou moins utiles pour exercer d'autres activités économiques. Il reste évidemment à circonscrire le cadre d'une activité d'avocat. Il n'y a pas de raison de se référer ici au droit genevois, puisque rien ne permet de penser (l'intimée a son siège à X. ) que les parties aient voulu définir l'activité d'avocat en fonction du droit genevois. Il convient bien plutôt de se référer au sens ordinaire des mots. Page 8</w:t>
      </w:r>
    </w:p>
    <w:p>
      <w:r>
        <w:t>Selon le Grand Robert de la langue française, l'avocat est une personne qui, régulièrement inscrite à un barreau, conseille en matière juridique ou contentieuse, assiste et représente ses clients en justice. Des juristes suisses ont défini l'avocat comme une personne physique ayant des connaissances juridiques et l'autorisation requise pour exercer professionnellement et de manière indépendante l'activité consistant à donner des conseils, défendre les intérêts d'autrui et intervenir devant tous les tribunaux d'un ressort pour assister ou représenter son client (BERNARD CORBOZ, Les infractions en droit suisse, vol. Il, 2002, n° 10 ad art. 321 CP; HERBERT BRUNNER, Die Anwalts- gemeinschaft, 1977, p. 6; cf. également: ATF 124 III 363 consid. Il/2b p. 366). Par son contenu, l'activité de l'avocat se caractérise donc par des conseils juridiques, la rédaction de projets d'actes juridiques, ainsi que l'assistance ou la représentation d'une personne devant une auto- rité administrative ou judiciaire. La jurisprudence a déjà eu l'occasion de souligner qu'il fallait distin- guer l'activité de l'avocat d'autres activités qui sont également exer- cées fréquemment par des avocats, en particulier celle d'adminis- trateur d'une société (ATF 115 la 197 consid. 3 d/bb p. 199; 114 III 105 consid. 3a p. 107; arrêt 1 A. 182/2001 du 26 mars 2002 consid. 6.3), celle qui relève de la gestion de fortune et du placement de fond (ATF 112 Ib 606), celle qui consiste exclusivement à effectuer ou encaisser des paiements pour le compte d'un tiers (arrêt IP.32/2005 du 11 juillet 2005 consid. 3.4).</w:t>
      </w:r>
    </w:p>
    <w:p>
      <w:r>
        <w:rPr>
          <w:b/>
        </w:rPr>
        <w:t>E. 3.4</w:t>
      </w:r>
    </w:p>
    <w:p>
      <w:r>
        <w:t>En l'espèce, on peut tout d'abord observer que l'on ne se trouve pas en présence d'une action en réparation interjetée contre l'avocat par un client qui invoque une mauvaise exécution du mandat. Cette remarque est toutefois sans pertinence, puisque, en vertu de l'art. 1 des conditions particulières de l'assurance, la couverture a été éten- due aux prétentions en dommages-intérêts fondées sur la responsa- bilité civile, c'est-à-dire à des prétentions de tiers reposant sur une base extracontractuelle. Dans l'action en dommages-intérêts, il était soutenu que le recourant avait contribué, avec d'autres personnes, à causer un dommage illicite à un tiers, après avoir mis à disposition quatre sociétés offshore dans lesquelles il s'était fait inscrire comme administrateur, en faisant ouvrir auprès de plusieurs banques des comptes au nom de ces sociétés, agissant en tant qu'organe de celles-ci, et en signant des formulaires A qui faisaient apparaître faussement le nom de l'ayant droit économique, à l'effet de rendre plus difficile l'identification de l'origine Page 9</w:t>
      </w:r>
    </w:p>
    <w:p>
      <w:r>
        <w:t>des fonds qui ont transité ensuite par ce dispositif. Le recourant a ouvert les comptes bancaires et signé les formulaires A en tant que gérant des sociétés offshore. Il a donc agi en tant qu'administrateur de sociétés, activité qui était clairement exclue de la couverture d'assu- rance. Même le fait de mettre à disposition des sociétés offshore dans lesquelles le recourant jouait le rôle d'administrateur ne constitue pas une activité traditionnelle d'avocat, dès lors qu'elle est fort éloignée des conseils juridiques et de l'assistance ou de la représentation devant une autorité. En considérant que les actes dommageables invoqués à rencontre du recourant dans l'action civile ne relevaient pas de l'activité d'avocat (seule couverte par l'assurance), la cour cantonale n'a pas violé le droit fédéral. Le recourant fait grand cas de conseils juridiques qu'il a donnés en avril 1997 au sujet de la structure à mettre en place. Sur ce point, la cour cantonale a constaté, sur la base des propres déclarations du recourant, que cette entrevue n'avait pas eu de suite et qu'il n'avait plus été sollicité dans le même cadre (arrêt attaqué lettre E p. 5). Elle n'a donc pas vu de lien de causalité entre ces conseils et les évé- nements qui se sont produits ultérieurement. Le constat de l'absence de causalité naturelle relève du fait et lie le Tribunal fédéral (ATF 130 III 591 consid. 5.3 p. 601, 699 consid. 4.1 p. 702), en l'absence de toute argumentation précise sur la question d'où l'on pourrait déduire que la causalité a été niée de façon manifestement inexacte ou en violation du droit au sens de l'art. 95 LTF (art. 105 al. 2 LTF). Au demeurant, on ne voit pas que de simples projets ou plans puissent constituer en l'espèce un fondement de responsabilité distinct, puisqu'ils apparaissent absorbés par les actes d'exécution accomplis ultérieurement par la même personne. Quant au contenu de la demande en réparation, il relève également des constatations de fait qui lient le Tribunal fédéral.</w:t>
      </w:r>
    </w:p>
    <w:p>
      <w:r>
        <w:rPr>
          <w:b/>
        </w:rPr>
        <w:t>E. 3.5</w:t>
      </w:r>
    </w:p>
    <w:p>
      <w:r>
        <w:t>Dès lors que l'activité du recourant sur laquelle se fondait l'action en responsabilité n'était pas une activité d'avocat, elle n'était pas couverte par le contrat conclu avec l'intimée. Il n'y a donc pas lieu de se demander si les frais d'avocat invoqués pourraient constituer des frais de sauvetage au sens des art. 61 et 70 LCA, ces dispositions ne concernant que des frais engagés pour éviter ou réduire un dommage que l'assureur doit supporter (arrêt 5C.18/2006 du 18 octobre 2006 consid. 7.1 publié in SJ 2007 I p. 238). Pour les mêmes raisons, il n'y a pas davantage à examiner si les frais de défense au pénal auraient pu être pris en compte à ce titre, notamment en regard du caractère intentionnel des infractions en cause (art. 14 LCA). Il est également Page 10</w:t>
      </w:r>
    </w:p>
    <w:p>
      <w:r>
        <w:t>vain de se demander si la déclaration de sinistre a été tardive.</w:t>
      </w:r>
    </w:p>
    <w:p>
      <w:r>
        <w:rPr>
          <w:b/>
        </w:rPr>
        <w:t>E. 4</w:t>
      </w:r>
    </w:p>
    <w:p>
      <w:r>
        <w:t>Le recours devant être rejeté, 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